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10</w:t>
      </w:r>
      <w:bookmarkStart w:id="1" w:name="_Hlk41145946"/>
      <w:r>
        <w:rPr>
          <w:rFonts w:hint="eastAsia" w:ascii="Arial" w:hAnsi="Arial" w:eastAsia="等线" w:cs="Arial"/>
          <w:b/>
        </w:rPr>
        <w:t>8bis</w:t>
      </w:r>
      <w:r>
        <w:rPr>
          <w:rFonts w:ascii="Arial" w:hAnsi="Arial" w:eastAsia="等线" w:cs="Arial"/>
          <w:b/>
        </w:rPr>
        <w:tab/>
      </w:r>
      <w:r>
        <w:rPr>
          <w:rFonts w:ascii="Arial" w:hAnsi="Arial" w:eastAsia="等线" w:cs="Arial"/>
          <w:b/>
          <w:bCs/>
        </w:rPr>
        <w:tab/>
      </w:r>
      <w:r>
        <w:rPr>
          <w:rFonts w:ascii="Arial" w:hAnsi="Arial" w:eastAsia="等线" w:cs="Arial"/>
          <w:b/>
          <w:bCs/>
        </w:rPr>
        <w:t>R4-2</w:t>
      </w:r>
      <w:bookmarkEnd w:id="1"/>
      <w:r>
        <w:rPr>
          <w:rFonts w:hint="eastAsia" w:ascii="Arial" w:hAnsi="Arial" w:eastAsia="等线" w:cs="Arial"/>
          <w:b/>
          <w:bCs/>
        </w:rPr>
        <w:t>31</w:t>
      </w:r>
      <w:r>
        <w:rPr>
          <w:rFonts w:hint="eastAsia" w:ascii="Arial" w:hAnsi="Arial" w:eastAsia="等线" w:cs="Arial"/>
          <w:b/>
          <w:bCs/>
          <w:lang w:val="en-US" w:eastAsia="zh-CN"/>
        </w:rPr>
        <w:t>5166</w:t>
      </w:r>
      <w:bookmarkStart w:id="10" w:name="_GoBack"/>
      <w:bookmarkEnd w:id="10"/>
    </w:p>
    <w:p>
      <w:pPr>
        <w:tabs>
          <w:tab w:val="left" w:pos="3106"/>
          <w:tab w:val="center" w:pos="4536"/>
          <w:tab w:val="right" w:pos="9072"/>
        </w:tabs>
        <w:jc w:val="both"/>
        <w:rPr>
          <w:rFonts w:ascii="Arial" w:hAnsi="Arial" w:cs="Arial"/>
          <w:b/>
          <w:bCs/>
        </w:rPr>
      </w:pPr>
      <w:r>
        <w:rPr>
          <w:rFonts w:hint="eastAsia" w:ascii="Arial" w:hAnsi="Arial" w:cs="Arial"/>
          <w:b/>
          <w:bCs/>
        </w:rPr>
        <w:t>Xiamen, China, October 09 - October 13, 2023</w:t>
      </w:r>
    </w:p>
    <w:bookmarkEnd w:id="0"/>
    <w:p>
      <w:pPr>
        <w:tabs>
          <w:tab w:val="left" w:pos="3106"/>
          <w:tab w:val="center" w:pos="4536"/>
          <w:tab w:val="right" w:pos="9072"/>
        </w:tabs>
        <w:jc w:val="both"/>
        <w:rPr>
          <w:rFonts w:ascii="Arial" w:hAnsi="Arial" w:cs="Arial"/>
          <w:b/>
          <w:bCs/>
        </w:rPr>
      </w:pPr>
    </w:p>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rPr>
        <w:t>5</w:t>
      </w:r>
      <w:r>
        <w:rPr>
          <w:sz w:val="22"/>
        </w:rPr>
        <w:t>.1</w:t>
      </w:r>
      <w:r>
        <w:rPr>
          <w:rFonts w:hint="eastAsia"/>
          <w:sz w:val="22"/>
        </w:rPr>
        <w:t>3</w:t>
      </w:r>
      <w:r>
        <w:rPr>
          <w:sz w:val="22"/>
        </w:rPr>
        <w:t>.</w:t>
      </w:r>
      <w:r>
        <w:rPr>
          <w:rFonts w:hint="eastAsia"/>
          <w:sz w:val="22"/>
        </w:rPr>
        <w:t>6</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w:t>
      </w:r>
      <w:r>
        <w:rPr>
          <w:rFonts w:hint="eastAsia"/>
          <w:sz w:val="22"/>
        </w:rPr>
        <w:t>measurement accuracy and test cases</w:t>
      </w:r>
      <w:r>
        <w:rPr>
          <w:sz w:val="22"/>
        </w:rPr>
        <w:t xml:space="preserve"> for ATG</w:t>
      </w:r>
      <w:bookmarkEnd w:id="3"/>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rFonts w:hint="eastAsia"/>
          <w:sz w:val="20"/>
          <w:szCs w:val="20"/>
        </w:rPr>
        <w:t xml:space="preserve">ATG RRM core requirements were discussed during RAN4#104 to RAN4#108. According to the TU allocation, RAN4 is supposed to start the performance part for the WI. In this contribution, we will provide our views on the measurement accuracy and test cases for ATG. </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pPr>
        <w:pStyle w:val="2"/>
        <w:numPr>
          <w:ilvl w:val="1"/>
          <w:numId w:val="2"/>
        </w:numPr>
        <w:pBdr>
          <w:top w:val="single" w:color="auto" w:sz="12"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w:t>
      </w:r>
      <w:r>
        <w:rPr>
          <w:rFonts w:ascii="Times New Roman" w:hAnsi="Times New Roman"/>
          <w:b w:val="0"/>
          <w:bCs w:val="0"/>
          <w:kern w:val="0"/>
          <w:sz w:val="28"/>
          <w:szCs w:val="28"/>
          <w:lang w:val="en-GB"/>
        </w:rPr>
        <w:t>Measurement</w:t>
      </w:r>
      <w:r>
        <w:rPr>
          <w:rFonts w:hint="eastAsia" w:ascii="Times New Roman" w:hAnsi="Times New Roman"/>
          <w:b w:val="0"/>
          <w:bCs w:val="0"/>
          <w:kern w:val="0"/>
          <w:sz w:val="28"/>
          <w:szCs w:val="28"/>
        </w:rPr>
        <w:t xml:space="preserve"> Accuracy</w:t>
      </w:r>
    </w:p>
    <w:p>
      <w:pPr>
        <w:spacing w:before="60"/>
        <w:jc w:val="both"/>
        <w:rPr>
          <w:rFonts w:eastAsia="等线"/>
          <w:bCs/>
          <w:sz w:val="20"/>
          <w:szCs w:val="20"/>
        </w:rPr>
      </w:pPr>
      <w:bookmarkStart w:id="9" w:name="_Hlk133265252"/>
      <w:r>
        <w:rPr>
          <w:rFonts w:hint="eastAsia" w:eastAsia="等线"/>
          <w:bCs/>
          <w:sz w:val="20"/>
          <w:szCs w:val="20"/>
        </w:rPr>
        <w:t>Basically, t</w:t>
      </w:r>
      <w:r>
        <w:rPr>
          <w:rFonts w:eastAsia="等线"/>
          <w:bCs/>
          <w:sz w:val="20"/>
          <w:szCs w:val="20"/>
        </w:rPr>
        <w:t>here are two factors that affect</w:t>
      </w:r>
      <w:r>
        <w:rPr>
          <w:rFonts w:hint="eastAsia" w:eastAsia="等线"/>
          <w:bCs/>
          <w:sz w:val="20"/>
          <w:szCs w:val="20"/>
        </w:rPr>
        <w:t xml:space="preserve"> the measurement</w:t>
      </w:r>
      <w:r>
        <w:rPr>
          <w:rFonts w:eastAsia="等线"/>
          <w:bCs/>
          <w:sz w:val="20"/>
          <w:szCs w:val="20"/>
        </w:rPr>
        <w:t xml:space="preserve"> accuracy, measurement </w:t>
      </w:r>
      <w:r>
        <w:rPr>
          <w:rFonts w:hint="eastAsia" w:eastAsia="等线"/>
          <w:bCs/>
          <w:sz w:val="20"/>
          <w:szCs w:val="20"/>
        </w:rPr>
        <w:t>samples</w:t>
      </w:r>
      <w:r>
        <w:rPr>
          <w:rFonts w:eastAsia="等线"/>
          <w:bCs/>
          <w:sz w:val="20"/>
          <w:szCs w:val="20"/>
        </w:rPr>
        <w:t xml:space="preserve"> and side conditions</w:t>
      </w:r>
      <w:r>
        <w:rPr>
          <w:rFonts w:hint="eastAsia" w:eastAsia="等线"/>
          <w:bCs/>
          <w:sz w:val="20"/>
          <w:szCs w:val="20"/>
        </w:rPr>
        <w:t>.</w:t>
      </w:r>
    </w:p>
    <w:p>
      <w:pPr>
        <w:spacing w:before="60"/>
        <w:jc w:val="both"/>
        <w:rPr>
          <w:rFonts w:eastAsia="等线"/>
          <w:bCs/>
          <w:sz w:val="20"/>
          <w:szCs w:val="20"/>
        </w:rPr>
      </w:pPr>
      <w:r>
        <w:rPr>
          <w:rFonts w:hint="eastAsia" w:eastAsia="等线"/>
          <w:bCs/>
          <w:sz w:val="20"/>
          <w:szCs w:val="20"/>
        </w:rPr>
        <w:t xml:space="preserve">For ATG normal measurement in both RRC_IDLE and RRC_CONNECTED, the measurement samples are same as in legacy TN network. For ATG enhanced measurement in RRC_IDLE/INACTIVE, the measurement samples are same as in HST requirement. </w:t>
      </w:r>
    </w:p>
    <w:p>
      <w:pPr>
        <w:spacing w:before="60"/>
        <w:jc w:val="both"/>
        <w:rPr>
          <w:rFonts w:eastAsia="等线"/>
          <w:bCs/>
          <w:sz w:val="20"/>
          <w:szCs w:val="20"/>
        </w:rPr>
      </w:pPr>
      <w:r>
        <w:rPr>
          <w:rFonts w:hint="eastAsia" w:eastAsia="等线"/>
          <w:bCs/>
          <w:sz w:val="20"/>
          <w:szCs w:val="20"/>
        </w:rPr>
        <w:t xml:space="preserve">For the side condition of </w:t>
      </w:r>
      <w:r>
        <w:rPr>
          <w:rFonts w:eastAsia="等线"/>
          <w:bCs/>
          <w:sz w:val="20"/>
          <w:szCs w:val="20"/>
        </w:rPr>
        <w:t>Es/Iot</w:t>
      </w:r>
      <w:r>
        <w:rPr>
          <w:rFonts w:hint="eastAsia" w:eastAsia="等线"/>
          <w:bCs/>
          <w:sz w:val="20"/>
          <w:szCs w:val="20"/>
        </w:rPr>
        <w:t>, we think it can be re-used from TN.</w:t>
      </w:r>
    </w:p>
    <w:p>
      <w:pPr>
        <w:spacing w:before="60"/>
        <w:jc w:val="both"/>
        <w:rPr>
          <w:rFonts w:eastAsia="等线"/>
          <w:bCs/>
          <w:sz w:val="20"/>
          <w:szCs w:val="20"/>
        </w:rPr>
      </w:pPr>
      <w:r>
        <w:rPr>
          <w:rFonts w:hint="eastAsia" w:eastAsia="等线"/>
          <w:bCs/>
          <w:sz w:val="20"/>
          <w:szCs w:val="20"/>
        </w:rPr>
        <w:t>In NTN, the measurement accuracy will not be impact by timing/frequency error of UE pre-compensation. For timing error, comparing with NTN, only UE GNSS error (40m, smaller than 50m in NTN) need to be considered in ATG network. For frequency error, maximum hundreds Hz residual Doppler is on the same level as in TN mobility scenario. Therefore, we think the measurement accuracy will not be impact by timing error of ATG UE timing/frequency pre-compensation.</w:t>
      </w:r>
    </w:p>
    <w:p>
      <w:pPr>
        <w:spacing w:before="60"/>
        <w:jc w:val="both"/>
        <w:rPr>
          <w:rFonts w:eastAsia="宋体"/>
          <w:sz w:val="20"/>
          <w:szCs w:val="20"/>
        </w:rPr>
      </w:pPr>
      <w:r>
        <w:rPr>
          <w:rFonts w:hint="eastAsia" w:eastAsia="等线"/>
          <w:bCs/>
          <w:sz w:val="20"/>
          <w:szCs w:val="20"/>
        </w:rPr>
        <w:t xml:space="preserve">Based on the observation and discussion above, we think the </w:t>
      </w:r>
      <w:r>
        <w:rPr>
          <w:rFonts w:eastAsia="等线"/>
          <w:bCs/>
          <w:sz w:val="20"/>
          <w:szCs w:val="20"/>
        </w:rPr>
        <w:t>Es/Iot</w:t>
      </w:r>
      <w:r>
        <w:rPr>
          <w:rFonts w:hint="eastAsia" w:eastAsia="等线"/>
          <w:bCs/>
          <w:sz w:val="20"/>
          <w:szCs w:val="20"/>
        </w:rPr>
        <w:t xml:space="preserve"> side condition and measurement accuracy of legacy TN network can be reused for ATG network.</w:t>
      </w:r>
    </w:p>
    <w:p>
      <w:pPr>
        <w:spacing w:before="60"/>
        <w:jc w:val="both"/>
        <w:rPr>
          <w:b/>
          <w:i/>
          <w:iCs/>
          <w:sz w:val="20"/>
          <w:szCs w:val="20"/>
        </w:rPr>
      </w:pPr>
      <w:r>
        <w:rPr>
          <w:rFonts w:hint="eastAsia"/>
          <w:b/>
          <w:i/>
          <w:iCs/>
          <w:sz w:val="20"/>
          <w:szCs w:val="20"/>
        </w:rPr>
        <w:t>Proposal 1: Reuse the Es/Iot side condition and measurement accuracy requirement of legacy TN network for ATG.</w:t>
      </w:r>
    </w:p>
    <w:p>
      <w:pPr>
        <w:pStyle w:val="2"/>
        <w:numPr>
          <w:ilvl w:val="1"/>
          <w:numId w:val="2"/>
        </w:numPr>
        <w:pBdr>
          <w:top w:val="none" w:color="auto" w:sz="0"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ATG test cases</w:t>
      </w:r>
    </w:p>
    <w:p>
      <w:pPr>
        <w:spacing w:before="60"/>
        <w:jc w:val="both"/>
        <w:rPr>
          <w:rFonts w:eastAsia="宋体"/>
          <w:b/>
          <w:bCs/>
          <w:i/>
          <w:iCs/>
          <w:sz w:val="20"/>
          <w:szCs w:val="20"/>
          <w:u w:val="single"/>
        </w:rPr>
      </w:pPr>
      <w:r>
        <w:rPr>
          <w:rFonts w:hint="eastAsia" w:eastAsia="宋体"/>
          <w:b/>
          <w:bCs/>
          <w:i/>
          <w:iCs/>
          <w:sz w:val="20"/>
          <w:szCs w:val="20"/>
          <w:u w:val="single"/>
        </w:rPr>
        <w:t>Test configuration</w:t>
      </w:r>
    </w:p>
    <w:p>
      <w:pPr>
        <w:spacing w:before="60"/>
        <w:jc w:val="both"/>
        <w:rPr>
          <w:rFonts w:eastAsia="宋体"/>
          <w:sz w:val="20"/>
          <w:szCs w:val="20"/>
        </w:rPr>
      </w:pPr>
      <w:r>
        <w:rPr>
          <w:rFonts w:hint="eastAsia" w:eastAsia="宋体"/>
          <w:sz w:val="20"/>
          <w:szCs w:val="20"/>
        </w:rPr>
        <w:t>In R18 ATG, RAN4 only consider 15kHz SCS for FDD, 30kHz SCS for TDD. Therefore, we propose two general test configurations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b w:val="0"/>
                <w:bCs/>
                <w:sz w:val="20"/>
                <w:szCs w:val="20"/>
              </w:rPr>
            </w:pPr>
            <w:r>
              <w:rPr>
                <w:rFonts w:ascii="Times New Roman" w:hAnsi="Times New Roman"/>
                <w:b w:val="0"/>
                <w:bCs/>
                <w:sz w:val="20"/>
                <w:szCs w:val="20"/>
              </w:rPr>
              <w:t>Configuration</w:t>
            </w:r>
          </w:p>
        </w:tc>
        <w:tc>
          <w:tcPr>
            <w:tcW w:w="6298"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b w:val="0"/>
                <w:bCs/>
                <w:sz w:val="20"/>
                <w:szCs w:val="20"/>
              </w:rPr>
            </w:pPr>
            <w:r>
              <w:rPr>
                <w:rFonts w:ascii="Times New Roman" w:hAnsi="Times New Roman"/>
                <w:b w:val="0"/>
                <w:bCs/>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sz w:val="20"/>
                <w:szCs w:val="20"/>
              </w:rPr>
            </w:pPr>
            <w:r>
              <w:rPr>
                <w:rFonts w:ascii="Times New Roman" w:hAnsi="Times New Roman"/>
                <w:sz w:val="20"/>
                <w:szCs w:val="20"/>
              </w:rPr>
              <w:t>1</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sz w:val="20"/>
                <w:szCs w:val="20"/>
              </w:rPr>
            </w:pPr>
            <w:r>
              <w:rPr>
                <w:rFonts w:ascii="Times New Roman" w:hAnsi="Times New Roman"/>
                <w:sz w:val="20"/>
                <w:szCs w:val="20"/>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sz w:val="20"/>
                <w:szCs w:val="20"/>
              </w:rPr>
            </w:pPr>
            <w:r>
              <w:rPr>
                <w:rFonts w:ascii="Times New Roman" w:hAnsi="Times New Roman"/>
                <w:sz w:val="20"/>
                <w:szCs w:val="20"/>
              </w:rPr>
              <w:t>2</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sz w:val="20"/>
                <w:szCs w:val="20"/>
              </w:rPr>
            </w:pPr>
            <w:r>
              <w:rPr>
                <w:rFonts w:ascii="Times New Roman" w:hAnsi="Times New Roman"/>
                <w:sz w:val="20"/>
                <w:szCs w:val="20"/>
              </w:rPr>
              <w:t>30 kHz SSB SCS, 40 MHz bandwidth, TDD duplex mode</w:t>
            </w:r>
          </w:p>
        </w:tc>
      </w:tr>
    </w:tbl>
    <w:p>
      <w:pPr>
        <w:spacing w:before="60"/>
        <w:jc w:val="both"/>
        <w:rPr>
          <w:b/>
          <w:i/>
          <w:iCs/>
          <w:sz w:val="20"/>
          <w:szCs w:val="20"/>
        </w:rPr>
      </w:pPr>
      <w:r>
        <w:rPr>
          <w:rFonts w:hint="eastAsia"/>
          <w:b/>
          <w:i/>
          <w:iCs/>
          <w:sz w:val="20"/>
          <w:szCs w:val="20"/>
        </w:rPr>
        <w:t>Proposal 2: Consider two general test configurations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i/>
                <w:iCs/>
                <w:sz w:val="20"/>
                <w:szCs w:val="20"/>
              </w:rPr>
            </w:pPr>
            <w:r>
              <w:rPr>
                <w:rFonts w:ascii="Times New Roman" w:hAnsi="Times New Roman"/>
                <w:i/>
                <w:iCs/>
                <w:sz w:val="20"/>
                <w:szCs w:val="20"/>
              </w:rPr>
              <w:t>Configuration</w:t>
            </w:r>
          </w:p>
        </w:tc>
        <w:tc>
          <w:tcPr>
            <w:tcW w:w="6298"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i/>
                <w:iCs/>
                <w:sz w:val="20"/>
                <w:szCs w:val="20"/>
              </w:rPr>
            </w:pPr>
            <w:r>
              <w:rPr>
                <w:rFonts w:ascii="Times New Roman" w:hAnsi="Times New Roman"/>
                <w:i/>
                <w:iCs/>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1</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2</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30 kHz SSB SCS, 40 MHz bandwidth, TDD duplex mode</w:t>
            </w:r>
          </w:p>
        </w:tc>
      </w:tr>
    </w:tbl>
    <w:p>
      <w:pPr>
        <w:spacing w:before="60"/>
        <w:jc w:val="both"/>
        <w:rPr>
          <w:rFonts w:eastAsia="宋体"/>
          <w:sz w:val="20"/>
          <w:szCs w:val="20"/>
        </w:rPr>
      </w:pPr>
    </w:p>
    <w:p>
      <w:pPr>
        <w:spacing w:before="60"/>
        <w:jc w:val="both"/>
        <w:rPr>
          <w:rFonts w:eastAsia="宋体"/>
          <w:b/>
          <w:bCs/>
          <w:i/>
          <w:iCs/>
          <w:sz w:val="20"/>
          <w:szCs w:val="20"/>
          <w:u w:val="single"/>
        </w:rPr>
      </w:pPr>
      <w:r>
        <w:rPr>
          <w:rFonts w:hint="eastAsia" w:eastAsia="宋体"/>
          <w:b/>
          <w:bCs/>
          <w:i/>
          <w:iCs/>
          <w:sz w:val="20"/>
          <w:szCs w:val="20"/>
          <w:u w:val="single"/>
        </w:rPr>
        <w:t>Test case coverage</w:t>
      </w:r>
    </w:p>
    <w:p>
      <w:pPr>
        <w:spacing w:before="60"/>
        <w:jc w:val="both"/>
        <w:rPr>
          <w:rFonts w:eastAsia="宋体"/>
          <w:sz w:val="20"/>
          <w:szCs w:val="20"/>
        </w:rPr>
      </w:pPr>
      <w:r>
        <w:rPr>
          <w:rFonts w:hint="eastAsia" w:eastAsia="宋体"/>
          <w:sz w:val="20"/>
          <w:szCs w:val="20"/>
        </w:rPr>
        <w:t xml:space="preserve">Two types of UE are considered in the core spec, which are UE with omnidirectional antennas and UE with antenna array. UE with omnidirectional antennas are assumed for </w:t>
      </w:r>
      <w:r>
        <w:rPr>
          <w:rFonts w:hint="eastAsia" w:eastAsia="宋体"/>
          <w:sz w:val="20"/>
          <w:szCs w:val="20"/>
          <w:lang w:val="en-US" w:eastAsia="zh-CN"/>
        </w:rPr>
        <w:t xml:space="preserve">both TDD and </w:t>
      </w:r>
      <w:r>
        <w:rPr>
          <w:rFonts w:hint="eastAsia" w:eastAsia="宋体"/>
          <w:sz w:val="20"/>
          <w:szCs w:val="20"/>
        </w:rPr>
        <w:t>FDD</w:t>
      </w:r>
      <w:r>
        <w:rPr>
          <w:rFonts w:hint="eastAsia" w:eastAsia="宋体"/>
          <w:sz w:val="20"/>
          <w:szCs w:val="20"/>
          <w:lang w:val="en-US" w:eastAsia="zh-CN"/>
        </w:rPr>
        <w:t xml:space="preserve"> </w:t>
      </w:r>
      <w:r>
        <w:rPr>
          <w:rFonts w:hint="eastAsia" w:eastAsia="宋体"/>
          <w:sz w:val="20"/>
          <w:szCs w:val="20"/>
        </w:rPr>
        <w:t>case, UE with antenna array are assumed for TDD case. Therefore, we propose follow this assumption when define the RRM test cases.</w:t>
      </w:r>
    </w:p>
    <w:p>
      <w:pPr>
        <w:spacing w:before="60"/>
        <w:jc w:val="both"/>
        <w:rPr>
          <w:b/>
          <w:i/>
          <w:iCs/>
          <w:sz w:val="20"/>
          <w:szCs w:val="20"/>
        </w:rPr>
      </w:pPr>
      <w:r>
        <w:rPr>
          <w:rFonts w:hint="eastAsia"/>
          <w:b/>
          <w:i/>
          <w:iCs/>
          <w:sz w:val="20"/>
          <w:szCs w:val="20"/>
        </w:rPr>
        <w:t xml:space="preserve">Proposal 3: Define FDD </w:t>
      </w:r>
      <w:r>
        <w:rPr>
          <w:rFonts w:hint="eastAsia"/>
          <w:b/>
          <w:i/>
          <w:iCs/>
          <w:sz w:val="20"/>
          <w:szCs w:val="20"/>
          <w:lang w:val="en-US" w:eastAsia="zh-CN"/>
        </w:rPr>
        <w:t xml:space="preserve">and TDD </w:t>
      </w:r>
      <w:r>
        <w:rPr>
          <w:rFonts w:hint="eastAsia"/>
          <w:b/>
          <w:i/>
          <w:iCs/>
          <w:sz w:val="20"/>
          <w:szCs w:val="20"/>
        </w:rPr>
        <w:t>test cases and test requirements for UE with omnidirectional antennas. Define TDD test cases and test requirements for UE with antenna array.</w:t>
      </w:r>
    </w:p>
    <w:p>
      <w:pPr>
        <w:spacing w:before="60"/>
        <w:jc w:val="both"/>
        <w:rPr>
          <w:rFonts w:eastAsia="宋体"/>
          <w:sz w:val="20"/>
          <w:szCs w:val="20"/>
        </w:rPr>
      </w:pPr>
      <w:r>
        <w:rPr>
          <w:rFonts w:hint="eastAsia" w:eastAsia="宋体"/>
          <w:sz w:val="20"/>
          <w:szCs w:val="20"/>
        </w:rPr>
        <w:t>For the exact TCs, based on the core requirements, we think the following TCs should be defined for ATG.</w:t>
      </w:r>
    </w:p>
    <w:p>
      <w:pPr>
        <w:spacing w:before="60"/>
        <w:jc w:val="both"/>
        <w:rPr>
          <w:b/>
          <w:i/>
          <w:iCs/>
          <w:sz w:val="20"/>
          <w:szCs w:val="20"/>
        </w:rPr>
      </w:pPr>
      <w:r>
        <w:rPr>
          <w:rFonts w:hint="eastAsia"/>
          <w:b/>
          <w:i/>
          <w:iCs/>
          <w:sz w:val="20"/>
          <w:szCs w:val="20"/>
        </w:rPr>
        <w:t>Proposal 4: Define following test cases for ATG:</w:t>
      </w:r>
    </w:p>
    <w:tbl>
      <w:tblPr>
        <w:tblStyle w:val="10"/>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4"/>
        <w:gridCol w:w="1050"/>
        <w:gridCol w:w="2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24"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18"/>
                <w:szCs w:val="18"/>
              </w:rPr>
            </w:pPr>
            <w:r>
              <w:rPr>
                <w:rFonts w:hint="eastAsia" w:eastAsia="宋体"/>
                <w:b/>
                <w:bCs/>
                <w:sz w:val="18"/>
                <w:szCs w:val="18"/>
              </w:rPr>
              <w:t>RRC_IDLE state mobility</w:t>
            </w:r>
          </w:p>
        </w:tc>
        <w:tc>
          <w:tcPr>
            <w:tcW w:w="1050" w:type="dxa"/>
          </w:tcPr>
          <w:p>
            <w:pPr>
              <w:widowControl/>
              <w:jc w:val="center"/>
              <w:rPr>
                <w:rFonts w:eastAsia="宋体"/>
                <w:b/>
                <w:bCs/>
                <w:sz w:val="18"/>
                <w:szCs w:val="18"/>
              </w:rPr>
            </w:pPr>
            <w:r>
              <w:rPr>
                <w:rFonts w:hint="eastAsia" w:eastAsia="宋体"/>
                <w:b/>
                <w:bCs/>
                <w:sz w:val="18"/>
                <w:szCs w:val="18"/>
              </w:rPr>
              <w:t>Test number</w:t>
            </w:r>
          </w:p>
        </w:tc>
        <w:tc>
          <w:tcPr>
            <w:tcW w:w="2357" w:type="dxa"/>
          </w:tcPr>
          <w:p>
            <w:pPr>
              <w:widowControl/>
              <w:jc w:val="center"/>
              <w:rPr>
                <w:rFonts w:eastAsia="宋体"/>
                <w:b/>
                <w:bCs/>
                <w:sz w:val="18"/>
                <w:szCs w:val="18"/>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5124" w:type="dxa"/>
            <w:vAlign w:val="center"/>
          </w:tcPr>
          <w:p>
            <w:pPr>
              <w:widowControl/>
              <w:jc w:val="left"/>
              <w:rPr>
                <w:rFonts w:eastAsia="宋体"/>
                <w:sz w:val="18"/>
                <w:szCs w:val="18"/>
              </w:rPr>
            </w:pPr>
            <w:r>
              <w:rPr>
                <w:rFonts w:hint="eastAsia" w:eastAsia="宋体"/>
                <w:sz w:val="18"/>
                <w:szCs w:val="18"/>
              </w:rPr>
              <w:t>Cell reselection to intra-frequency neighbour cell</w:t>
            </w:r>
          </w:p>
        </w:tc>
        <w:tc>
          <w:tcPr>
            <w:tcW w:w="1050" w:type="dxa"/>
            <w:vAlign w:val="center"/>
          </w:tcPr>
          <w:p>
            <w:pPr>
              <w:widowControl/>
              <w:jc w:val="left"/>
              <w:rPr>
                <w:rFonts w:eastAsia="宋体"/>
                <w:sz w:val="18"/>
                <w:szCs w:val="18"/>
              </w:rPr>
            </w:pPr>
            <w:r>
              <w:rPr>
                <w:rFonts w:hint="eastAsia" w:eastAsia="宋体"/>
                <w:sz w:val="18"/>
                <w:szCs w:val="18"/>
              </w:rPr>
              <w:t>ATG 1-1</w:t>
            </w:r>
          </w:p>
        </w:tc>
        <w:tc>
          <w:tcPr>
            <w:tcW w:w="2357" w:type="dxa"/>
            <w:vMerge w:val="restart"/>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Location based cell reselection to intra-frequency neighbour cell</w:t>
            </w:r>
          </w:p>
        </w:tc>
        <w:tc>
          <w:tcPr>
            <w:tcW w:w="1050" w:type="dxa"/>
            <w:vAlign w:val="center"/>
          </w:tcPr>
          <w:p>
            <w:pPr>
              <w:widowControl/>
              <w:jc w:val="left"/>
              <w:rPr>
                <w:rFonts w:eastAsia="宋体"/>
                <w:sz w:val="18"/>
                <w:szCs w:val="18"/>
              </w:rPr>
            </w:pPr>
            <w:r>
              <w:rPr>
                <w:rFonts w:hint="eastAsia" w:eastAsia="宋体"/>
                <w:sz w:val="18"/>
                <w:szCs w:val="18"/>
              </w:rPr>
              <w:t>ATG 1-2</w:t>
            </w:r>
          </w:p>
        </w:tc>
        <w:tc>
          <w:tcPr>
            <w:tcW w:w="2357" w:type="dxa"/>
            <w:vMerge w:val="continue"/>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Cell reselection to inter-frequency neighbour cell</w:t>
            </w:r>
          </w:p>
        </w:tc>
        <w:tc>
          <w:tcPr>
            <w:tcW w:w="1050" w:type="dxa"/>
            <w:vAlign w:val="center"/>
          </w:tcPr>
          <w:p>
            <w:pPr>
              <w:widowControl/>
              <w:jc w:val="left"/>
              <w:rPr>
                <w:rFonts w:eastAsia="宋体"/>
                <w:sz w:val="18"/>
                <w:szCs w:val="18"/>
              </w:rPr>
            </w:pPr>
            <w:r>
              <w:rPr>
                <w:rFonts w:hint="eastAsia" w:eastAsia="宋体"/>
                <w:sz w:val="18"/>
                <w:szCs w:val="18"/>
              </w:rPr>
              <w:t>ATG 1-3</w:t>
            </w:r>
          </w:p>
        </w:tc>
        <w:tc>
          <w:tcPr>
            <w:tcW w:w="2357"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Cell reselection to inter-frequency NR cell for UE configured with [enhanced requirements]</w:t>
            </w:r>
          </w:p>
        </w:tc>
        <w:tc>
          <w:tcPr>
            <w:tcW w:w="1050" w:type="dxa"/>
            <w:vAlign w:val="center"/>
          </w:tcPr>
          <w:p>
            <w:pPr>
              <w:widowControl/>
              <w:jc w:val="left"/>
              <w:rPr>
                <w:rFonts w:eastAsia="宋体"/>
                <w:sz w:val="18"/>
                <w:szCs w:val="18"/>
              </w:rPr>
            </w:pPr>
            <w:r>
              <w:rPr>
                <w:rFonts w:hint="eastAsia" w:eastAsia="宋体"/>
                <w:sz w:val="18"/>
                <w:szCs w:val="18"/>
              </w:rPr>
              <w:t>ATG 1-4</w:t>
            </w:r>
          </w:p>
        </w:tc>
        <w:tc>
          <w:tcPr>
            <w:tcW w:w="2357" w:type="dxa"/>
            <w:vMerge w:val="restart"/>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Location based cell reselection to inter-frequency neighbour cell</w:t>
            </w:r>
          </w:p>
        </w:tc>
        <w:tc>
          <w:tcPr>
            <w:tcW w:w="1050" w:type="dxa"/>
            <w:vAlign w:val="center"/>
          </w:tcPr>
          <w:p>
            <w:pPr>
              <w:widowControl/>
              <w:jc w:val="left"/>
              <w:rPr>
                <w:rFonts w:eastAsia="宋体"/>
                <w:sz w:val="18"/>
                <w:szCs w:val="18"/>
              </w:rPr>
            </w:pPr>
            <w:r>
              <w:rPr>
                <w:rFonts w:hint="eastAsia" w:eastAsia="宋体"/>
                <w:sz w:val="18"/>
                <w:szCs w:val="18"/>
              </w:rPr>
              <w:t>ATG 1-5</w:t>
            </w:r>
          </w:p>
        </w:tc>
        <w:tc>
          <w:tcPr>
            <w:tcW w:w="2357" w:type="dxa"/>
            <w:vMerge w:val="continue"/>
            <w:vAlign w:val="center"/>
          </w:tcPr>
          <w:p>
            <w:pPr>
              <w:widowControl/>
              <w:jc w:val="left"/>
              <w:rPr>
                <w:rFonts w:eastAsia="宋体"/>
                <w:sz w:val="18"/>
                <w:szCs w:val="18"/>
              </w:rPr>
            </w:pP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9"/>
        <w:gridCol w:w="1062"/>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RRC_CONNECTED state mobility</w:t>
            </w:r>
          </w:p>
        </w:tc>
        <w:tc>
          <w:tcPr>
            <w:tcW w:w="1062"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HO with known target cell</w:t>
            </w:r>
          </w:p>
        </w:tc>
        <w:tc>
          <w:tcPr>
            <w:tcW w:w="1062" w:type="dxa"/>
            <w:vAlign w:val="center"/>
          </w:tcPr>
          <w:p>
            <w:pPr>
              <w:widowControl/>
              <w:jc w:val="left"/>
              <w:rPr>
                <w:rFonts w:eastAsia="宋体"/>
                <w:sz w:val="18"/>
                <w:szCs w:val="18"/>
              </w:rPr>
            </w:pPr>
            <w:r>
              <w:rPr>
                <w:rFonts w:hint="eastAsia" w:eastAsia="宋体"/>
                <w:sz w:val="18"/>
                <w:szCs w:val="18"/>
              </w:rPr>
              <w:t>ATG 2-1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HO with unknown target cell</w:t>
            </w:r>
          </w:p>
        </w:tc>
        <w:tc>
          <w:tcPr>
            <w:tcW w:w="1062" w:type="dxa"/>
            <w:vAlign w:val="center"/>
          </w:tcPr>
          <w:p>
            <w:pPr>
              <w:widowControl/>
              <w:jc w:val="left"/>
              <w:rPr>
                <w:rFonts w:eastAsia="宋体"/>
                <w:sz w:val="18"/>
                <w:szCs w:val="18"/>
              </w:rPr>
            </w:pPr>
            <w:r>
              <w:rPr>
                <w:rFonts w:hint="eastAsia" w:eastAsia="宋体"/>
                <w:sz w:val="18"/>
                <w:szCs w:val="18"/>
              </w:rPr>
              <w:t>ATG 2-2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HO with known target cell</w:t>
            </w:r>
          </w:p>
        </w:tc>
        <w:tc>
          <w:tcPr>
            <w:tcW w:w="1062" w:type="dxa"/>
            <w:vAlign w:val="center"/>
          </w:tcPr>
          <w:p>
            <w:pPr>
              <w:widowControl/>
              <w:jc w:val="left"/>
              <w:rPr>
                <w:rFonts w:eastAsia="宋体"/>
                <w:sz w:val="18"/>
                <w:szCs w:val="18"/>
              </w:rPr>
            </w:pPr>
            <w:r>
              <w:rPr>
                <w:rFonts w:hint="eastAsia" w:eastAsia="宋体"/>
                <w:sz w:val="18"/>
                <w:szCs w:val="18"/>
              </w:rPr>
              <w:t>ATG 2-3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HO with unknown target cell</w:t>
            </w:r>
          </w:p>
        </w:tc>
        <w:tc>
          <w:tcPr>
            <w:tcW w:w="1062" w:type="dxa"/>
            <w:vAlign w:val="center"/>
          </w:tcPr>
          <w:p>
            <w:pPr>
              <w:widowControl/>
              <w:jc w:val="left"/>
              <w:rPr>
                <w:rFonts w:eastAsia="宋体"/>
                <w:sz w:val="18"/>
                <w:szCs w:val="18"/>
              </w:rPr>
            </w:pPr>
            <w:r>
              <w:rPr>
                <w:rFonts w:hint="eastAsia" w:eastAsia="宋体"/>
                <w:sz w:val="18"/>
                <w:szCs w:val="18"/>
              </w:rPr>
              <w:t>ATG 2-4</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Intra-frequency location based CHO </w:t>
            </w:r>
          </w:p>
        </w:tc>
        <w:tc>
          <w:tcPr>
            <w:tcW w:w="1062" w:type="dxa"/>
            <w:vAlign w:val="center"/>
          </w:tcPr>
          <w:p>
            <w:pPr>
              <w:widowControl/>
              <w:jc w:val="left"/>
              <w:rPr>
                <w:rFonts w:eastAsia="宋体"/>
                <w:sz w:val="18"/>
                <w:szCs w:val="18"/>
              </w:rPr>
            </w:pPr>
            <w:r>
              <w:rPr>
                <w:rFonts w:hint="eastAsia" w:eastAsia="宋体"/>
                <w:sz w:val="18"/>
                <w:szCs w:val="18"/>
              </w:rPr>
              <w:t>ATG 2-5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Inter-frequency location based CHO </w:t>
            </w:r>
          </w:p>
        </w:tc>
        <w:tc>
          <w:tcPr>
            <w:tcW w:w="1062" w:type="dxa"/>
            <w:vAlign w:val="center"/>
          </w:tcPr>
          <w:p>
            <w:pPr>
              <w:widowControl/>
              <w:jc w:val="left"/>
              <w:rPr>
                <w:rFonts w:eastAsia="宋体"/>
                <w:sz w:val="18"/>
                <w:szCs w:val="18"/>
              </w:rPr>
            </w:pPr>
            <w:r>
              <w:rPr>
                <w:rFonts w:hint="eastAsia" w:eastAsia="宋体"/>
                <w:sz w:val="18"/>
                <w:szCs w:val="18"/>
              </w:rPr>
              <w:t>ATG 2-6</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RRC Re-establishment with known target cell</w:t>
            </w:r>
          </w:p>
        </w:tc>
        <w:tc>
          <w:tcPr>
            <w:tcW w:w="1062" w:type="dxa"/>
            <w:vAlign w:val="center"/>
          </w:tcPr>
          <w:p>
            <w:pPr>
              <w:widowControl/>
              <w:jc w:val="left"/>
              <w:rPr>
                <w:rFonts w:eastAsia="宋体"/>
                <w:sz w:val="18"/>
                <w:szCs w:val="18"/>
              </w:rPr>
            </w:pPr>
            <w:r>
              <w:rPr>
                <w:rFonts w:hint="eastAsia" w:eastAsia="宋体"/>
                <w:sz w:val="18"/>
                <w:szCs w:val="18"/>
              </w:rPr>
              <w:t>ATG 2-7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Intra-frequency RRC Re-establishment with unknown target cell </w:t>
            </w:r>
          </w:p>
        </w:tc>
        <w:tc>
          <w:tcPr>
            <w:tcW w:w="1062" w:type="dxa"/>
            <w:vAlign w:val="center"/>
          </w:tcPr>
          <w:p>
            <w:pPr>
              <w:widowControl/>
              <w:jc w:val="left"/>
              <w:rPr>
                <w:rFonts w:eastAsia="宋体"/>
                <w:sz w:val="18"/>
                <w:szCs w:val="18"/>
              </w:rPr>
            </w:pPr>
            <w:r>
              <w:rPr>
                <w:rFonts w:hint="eastAsia" w:eastAsia="宋体"/>
                <w:sz w:val="18"/>
                <w:szCs w:val="18"/>
              </w:rPr>
              <w:t>ATG 2-8</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RRC Re-establishment with known target cell</w:t>
            </w:r>
          </w:p>
        </w:tc>
        <w:tc>
          <w:tcPr>
            <w:tcW w:w="1062" w:type="dxa"/>
            <w:vAlign w:val="center"/>
          </w:tcPr>
          <w:p>
            <w:pPr>
              <w:widowControl/>
              <w:jc w:val="left"/>
              <w:rPr>
                <w:rFonts w:eastAsia="宋体"/>
                <w:sz w:val="18"/>
                <w:szCs w:val="18"/>
              </w:rPr>
            </w:pPr>
            <w:r>
              <w:rPr>
                <w:rFonts w:hint="eastAsia" w:eastAsia="宋体"/>
                <w:sz w:val="18"/>
                <w:szCs w:val="18"/>
              </w:rPr>
              <w:t>ATG 2-9</w:t>
            </w:r>
          </w:p>
        </w:tc>
        <w:tc>
          <w:tcPr>
            <w:tcW w:w="2341" w:type="dxa"/>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Inter-frequency RRC Re-establishment with unknown target cell </w:t>
            </w:r>
          </w:p>
        </w:tc>
        <w:tc>
          <w:tcPr>
            <w:tcW w:w="1062" w:type="dxa"/>
            <w:vAlign w:val="center"/>
          </w:tcPr>
          <w:p>
            <w:pPr>
              <w:widowControl/>
              <w:jc w:val="left"/>
              <w:rPr>
                <w:rFonts w:eastAsia="宋体"/>
                <w:sz w:val="18"/>
                <w:szCs w:val="18"/>
              </w:rPr>
            </w:pPr>
            <w:r>
              <w:rPr>
                <w:rFonts w:hint="eastAsia" w:eastAsia="宋体"/>
                <w:sz w:val="18"/>
                <w:szCs w:val="18"/>
              </w:rPr>
              <w:t>ATG 2-10</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4-step RA type 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4-step RA type Non-Contention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2-step RA type 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2-step RA type Non-Contention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2-14</w:t>
            </w:r>
          </w:p>
        </w:tc>
        <w:tc>
          <w:tcPr>
            <w:tcW w:w="2341" w:type="dxa"/>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RRC Connection Release with Redirection</w:t>
            </w:r>
          </w:p>
        </w:tc>
        <w:tc>
          <w:tcPr>
            <w:tcW w:w="1062" w:type="dxa"/>
            <w:vAlign w:val="center"/>
          </w:tcPr>
          <w:p>
            <w:pPr>
              <w:widowControl/>
              <w:jc w:val="left"/>
              <w:rPr>
                <w:rFonts w:eastAsia="宋体"/>
                <w:sz w:val="18"/>
                <w:szCs w:val="18"/>
              </w:rPr>
            </w:pPr>
            <w:r>
              <w:rPr>
                <w:rFonts w:hint="eastAsia" w:eastAsia="宋体"/>
                <w:sz w:val="18"/>
                <w:szCs w:val="18"/>
              </w:rPr>
              <w:t>ATG 2-15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Timing</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UE transmit timing test</w:t>
            </w:r>
          </w:p>
        </w:tc>
        <w:tc>
          <w:tcPr>
            <w:tcW w:w="1065" w:type="dxa"/>
            <w:vAlign w:val="center"/>
          </w:tcPr>
          <w:p>
            <w:pPr>
              <w:widowControl/>
              <w:jc w:val="left"/>
              <w:rPr>
                <w:rFonts w:eastAsia="宋体"/>
                <w:sz w:val="18"/>
                <w:szCs w:val="18"/>
              </w:rPr>
            </w:pPr>
            <w:r>
              <w:rPr>
                <w:rFonts w:hint="eastAsia" w:eastAsia="宋体"/>
                <w:sz w:val="18"/>
                <w:szCs w:val="18"/>
              </w:rPr>
              <w:t>ATG 3-1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T</w:t>
            </w:r>
            <w:r>
              <w:rPr>
                <w:rFonts w:eastAsia="宋体"/>
                <w:sz w:val="18"/>
                <w:szCs w:val="18"/>
              </w:rPr>
              <w:t>iming advance adjustment accuracy</w:t>
            </w:r>
          </w:p>
        </w:tc>
        <w:tc>
          <w:tcPr>
            <w:tcW w:w="1065" w:type="dxa"/>
            <w:vAlign w:val="center"/>
          </w:tcPr>
          <w:p>
            <w:pPr>
              <w:widowControl/>
              <w:jc w:val="left"/>
              <w:rPr>
                <w:rFonts w:eastAsia="宋体"/>
                <w:sz w:val="18"/>
                <w:szCs w:val="18"/>
              </w:rPr>
            </w:pPr>
            <w:r>
              <w:rPr>
                <w:rFonts w:hint="eastAsia" w:eastAsia="宋体"/>
                <w:sz w:val="18"/>
                <w:szCs w:val="18"/>
              </w:rPr>
              <w:t>ATG 3-2</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eastAsia="宋体"/>
                <w:b/>
                <w:bCs/>
                <w:sz w:val="20"/>
                <w:szCs w:val="20"/>
              </w:rPr>
              <w:t>Signalling characteristics</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SSB-based RLM RS in non-DRX mode</w:t>
            </w:r>
          </w:p>
        </w:tc>
        <w:tc>
          <w:tcPr>
            <w:tcW w:w="1065" w:type="dxa"/>
            <w:vAlign w:val="center"/>
          </w:tcPr>
          <w:p>
            <w:pPr>
              <w:widowControl/>
              <w:jc w:val="left"/>
              <w:rPr>
                <w:rFonts w:eastAsia="宋体"/>
                <w:sz w:val="18"/>
                <w:szCs w:val="18"/>
              </w:rPr>
            </w:pPr>
            <w:r>
              <w:rPr>
                <w:rFonts w:hint="eastAsia" w:eastAsia="宋体"/>
                <w:sz w:val="18"/>
                <w:szCs w:val="18"/>
              </w:rPr>
              <w:t>ATG 4-1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SSB-based RLM RS in non-DRX mode</w:t>
            </w:r>
          </w:p>
        </w:tc>
        <w:tc>
          <w:tcPr>
            <w:tcW w:w="1065" w:type="dxa"/>
            <w:vAlign w:val="center"/>
          </w:tcPr>
          <w:p>
            <w:pPr>
              <w:widowControl/>
              <w:jc w:val="left"/>
              <w:rPr>
                <w:rFonts w:eastAsia="宋体"/>
                <w:sz w:val="18"/>
                <w:szCs w:val="18"/>
              </w:rPr>
            </w:pPr>
            <w:r>
              <w:rPr>
                <w:rFonts w:hint="eastAsia" w:eastAsia="宋体"/>
                <w:sz w:val="18"/>
                <w:szCs w:val="18"/>
              </w:rPr>
              <w:t>ATG 4-2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SSB-based RLM RS in DRX mode</w:t>
            </w:r>
          </w:p>
        </w:tc>
        <w:tc>
          <w:tcPr>
            <w:tcW w:w="1065" w:type="dxa"/>
            <w:vAlign w:val="center"/>
          </w:tcPr>
          <w:p>
            <w:pPr>
              <w:widowControl/>
              <w:jc w:val="left"/>
              <w:rPr>
                <w:rFonts w:eastAsia="宋体"/>
                <w:sz w:val="18"/>
                <w:szCs w:val="18"/>
              </w:rPr>
            </w:pPr>
            <w:r>
              <w:rPr>
                <w:rFonts w:hint="eastAsia" w:eastAsia="宋体"/>
                <w:sz w:val="18"/>
                <w:szCs w:val="18"/>
              </w:rPr>
              <w:t>ATG 4-3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SSB-based RLM RS in DRX mode</w:t>
            </w:r>
          </w:p>
        </w:tc>
        <w:tc>
          <w:tcPr>
            <w:tcW w:w="1065" w:type="dxa"/>
            <w:vAlign w:val="center"/>
          </w:tcPr>
          <w:p>
            <w:pPr>
              <w:widowControl/>
              <w:jc w:val="left"/>
              <w:rPr>
                <w:rFonts w:eastAsia="宋体"/>
                <w:sz w:val="18"/>
                <w:szCs w:val="18"/>
              </w:rPr>
            </w:pPr>
            <w:r>
              <w:rPr>
                <w:rFonts w:hint="eastAsia" w:eastAsia="宋体"/>
                <w:sz w:val="18"/>
                <w:szCs w:val="18"/>
              </w:rPr>
              <w:t>ATG 4-4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CSI-RS-based RLM in non-DRX mode</w:t>
            </w:r>
          </w:p>
        </w:tc>
        <w:tc>
          <w:tcPr>
            <w:tcW w:w="1065" w:type="dxa"/>
            <w:vAlign w:val="center"/>
          </w:tcPr>
          <w:p>
            <w:pPr>
              <w:widowControl/>
              <w:jc w:val="left"/>
              <w:rPr>
                <w:rFonts w:eastAsia="宋体"/>
                <w:sz w:val="18"/>
                <w:szCs w:val="18"/>
              </w:rPr>
            </w:pPr>
            <w:r>
              <w:rPr>
                <w:rFonts w:hint="eastAsia" w:eastAsia="宋体"/>
                <w:sz w:val="18"/>
                <w:szCs w:val="18"/>
              </w:rPr>
              <w:t>ATG 4-5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CSI-RS-based RLM in non-DRX mode</w:t>
            </w:r>
          </w:p>
        </w:tc>
        <w:tc>
          <w:tcPr>
            <w:tcW w:w="1065" w:type="dxa"/>
            <w:vAlign w:val="center"/>
          </w:tcPr>
          <w:p>
            <w:pPr>
              <w:widowControl/>
              <w:jc w:val="left"/>
              <w:rPr>
                <w:rFonts w:eastAsia="宋体"/>
                <w:sz w:val="18"/>
                <w:szCs w:val="18"/>
              </w:rPr>
            </w:pPr>
            <w:r>
              <w:rPr>
                <w:rFonts w:hint="eastAsia" w:eastAsia="宋体"/>
                <w:sz w:val="18"/>
                <w:szCs w:val="18"/>
              </w:rPr>
              <w:t>ATG 4-6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CSI-RS-based RLM in DRX mode</w:t>
            </w:r>
          </w:p>
        </w:tc>
        <w:tc>
          <w:tcPr>
            <w:tcW w:w="1065" w:type="dxa"/>
            <w:vAlign w:val="center"/>
          </w:tcPr>
          <w:p>
            <w:pPr>
              <w:widowControl/>
              <w:jc w:val="left"/>
              <w:rPr>
                <w:rFonts w:eastAsia="宋体"/>
                <w:sz w:val="18"/>
                <w:szCs w:val="18"/>
              </w:rPr>
            </w:pPr>
            <w:r>
              <w:rPr>
                <w:rFonts w:hint="eastAsia" w:eastAsia="宋体"/>
                <w:sz w:val="18"/>
                <w:szCs w:val="18"/>
              </w:rPr>
              <w:t>ATG 4-7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CSI-RS-based RLM in DRX mode</w:t>
            </w:r>
          </w:p>
        </w:tc>
        <w:tc>
          <w:tcPr>
            <w:tcW w:w="1065" w:type="dxa"/>
            <w:vAlign w:val="center"/>
          </w:tcPr>
          <w:p>
            <w:pPr>
              <w:widowControl/>
              <w:jc w:val="left"/>
              <w:rPr>
                <w:rFonts w:eastAsia="宋体"/>
                <w:sz w:val="18"/>
                <w:szCs w:val="18"/>
              </w:rPr>
            </w:pPr>
            <w:r>
              <w:rPr>
                <w:rFonts w:hint="eastAsia" w:eastAsia="宋体"/>
                <w:sz w:val="18"/>
                <w:szCs w:val="18"/>
              </w:rPr>
              <w:t>ATG 4-8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SSB-based BFD and LR in non-DRX mode</w:t>
            </w:r>
          </w:p>
        </w:tc>
        <w:tc>
          <w:tcPr>
            <w:tcW w:w="1065" w:type="dxa"/>
            <w:vAlign w:val="center"/>
          </w:tcPr>
          <w:p>
            <w:pPr>
              <w:widowControl/>
              <w:jc w:val="left"/>
              <w:rPr>
                <w:rFonts w:eastAsia="宋体"/>
                <w:sz w:val="18"/>
                <w:szCs w:val="18"/>
              </w:rPr>
            </w:pPr>
            <w:r>
              <w:rPr>
                <w:rFonts w:hint="eastAsia" w:eastAsia="宋体"/>
                <w:sz w:val="18"/>
                <w:szCs w:val="18"/>
              </w:rPr>
              <w:t>ATG 4-9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SSB-based BFD and LR in DRX mode</w:t>
            </w:r>
          </w:p>
        </w:tc>
        <w:tc>
          <w:tcPr>
            <w:tcW w:w="1065" w:type="dxa"/>
            <w:vAlign w:val="center"/>
          </w:tcPr>
          <w:p>
            <w:pPr>
              <w:widowControl/>
              <w:jc w:val="left"/>
              <w:rPr>
                <w:rFonts w:eastAsia="宋体"/>
                <w:sz w:val="18"/>
                <w:szCs w:val="18"/>
              </w:rPr>
            </w:pPr>
            <w:r>
              <w:rPr>
                <w:rFonts w:hint="eastAsia" w:eastAsia="宋体"/>
                <w:sz w:val="18"/>
                <w:szCs w:val="18"/>
              </w:rPr>
              <w:t>ATG 4-10</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CSI-RS-based BFD and LR in non-DRX mode</w:t>
            </w:r>
          </w:p>
        </w:tc>
        <w:tc>
          <w:tcPr>
            <w:tcW w:w="1065" w:type="dxa"/>
            <w:vAlign w:val="center"/>
          </w:tcPr>
          <w:p>
            <w:pPr>
              <w:widowControl/>
              <w:jc w:val="left"/>
              <w:rPr>
                <w:rFonts w:eastAsia="宋体"/>
                <w:sz w:val="18"/>
                <w:szCs w:val="18"/>
              </w:rPr>
            </w:pPr>
            <w:r>
              <w:rPr>
                <w:rFonts w:hint="eastAsia" w:eastAsia="宋体"/>
                <w:sz w:val="18"/>
                <w:szCs w:val="18"/>
              </w:rPr>
              <w:t>ATG 4-11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CSI-RS-based BFD and LR in DRX mode</w:t>
            </w:r>
          </w:p>
        </w:tc>
        <w:tc>
          <w:tcPr>
            <w:tcW w:w="1065" w:type="dxa"/>
            <w:vAlign w:val="center"/>
          </w:tcPr>
          <w:p>
            <w:pPr>
              <w:widowControl/>
              <w:jc w:val="left"/>
              <w:rPr>
                <w:rFonts w:eastAsia="宋体"/>
                <w:sz w:val="18"/>
                <w:szCs w:val="18"/>
              </w:rPr>
            </w:pPr>
            <w:r>
              <w:rPr>
                <w:rFonts w:hint="eastAsia" w:eastAsia="宋体"/>
                <w:sz w:val="18"/>
                <w:szCs w:val="18"/>
              </w:rPr>
              <w:t>ATG 4-12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DCI-based and Timer-based Active BWP Switch</w:t>
            </w:r>
          </w:p>
        </w:tc>
        <w:tc>
          <w:tcPr>
            <w:tcW w:w="1065" w:type="dxa"/>
            <w:vAlign w:val="center"/>
          </w:tcPr>
          <w:p>
            <w:pPr>
              <w:widowControl/>
              <w:jc w:val="left"/>
              <w:rPr>
                <w:rFonts w:eastAsia="宋体"/>
                <w:sz w:val="18"/>
                <w:szCs w:val="18"/>
              </w:rPr>
            </w:pPr>
            <w:r>
              <w:rPr>
                <w:rFonts w:hint="eastAsia" w:eastAsia="宋体"/>
                <w:sz w:val="18"/>
                <w:szCs w:val="18"/>
              </w:rPr>
              <w:t>ATG 4-13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RRC-based Active BWP Switch</w:t>
            </w:r>
          </w:p>
        </w:tc>
        <w:tc>
          <w:tcPr>
            <w:tcW w:w="1065" w:type="dxa"/>
            <w:vAlign w:val="center"/>
          </w:tcPr>
          <w:p>
            <w:pPr>
              <w:widowControl/>
              <w:jc w:val="left"/>
              <w:rPr>
                <w:rFonts w:eastAsia="宋体"/>
                <w:sz w:val="18"/>
                <w:szCs w:val="18"/>
              </w:rPr>
            </w:pPr>
            <w:r>
              <w:rPr>
                <w:rFonts w:hint="eastAsia" w:eastAsia="宋体"/>
                <w:sz w:val="18"/>
                <w:szCs w:val="18"/>
              </w:rPr>
              <w:t>ATG 4-14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UE specific CBW change</w:t>
            </w:r>
          </w:p>
        </w:tc>
        <w:tc>
          <w:tcPr>
            <w:tcW w:w="1065" w:type="dxa"/>
            <w:vAlign w:val="center"/>
          </w:tcPr>
          <w:p>
            <w:pPr>
              <w:widowControl/>
              <w:jc w:val="left"/>
              <w:rPr>
                <w:rFonts w:eastAsia="宋体"/>
                <w:sz w:val="18"/>
                <w:szCs w:val="18"/>
              </w:rPr>
            </w:pPr>
            <w:r>
              <w:rPr>
                <w:rFonts w:hint="eastAsia" w:eastAsia="宋体"/>
                <w:sz w:val="18"/>
                <w:szCs w:val="18"/>
              </w:rPr>
              <w:t>ATG 4-15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Pathloss reference signal switching delay</w:t>
            </w:r>
          </w:p>
        </w:tc>
        <w:tc>
          <w:tcPr>
            <w:tcW w:w="1065" w:type="dxa"/>
            <w:vAlign w:val="center"/>
          </w:tcPr>
          <w:p>
            <w:pPr>
              <w:widowControl/>
              <w:jc w:val="left"/>
              <w:rPr>
                <w:rFonts w:eastAsia="宋体"/>
                <w:sz w:val="18"/>
                <w:szCs w:val="18"/>
              </w:rPr>
            </w:pPr>
            <w:r>
              <w:rPr>
                <w:rFonts w:hint="eastAsia" w:eastAsia="宋体"/>
                <w:sz w:val="18"/>
                <w:szCs w:val="18"/>
              </w:rPr>
              <w:t>ATG 4-16</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Measurement procedure</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non-DRX</w:t>
            </w:r>
          </w:p>
        </w:tc>
        <w:tc>
          <w:tcPr>
            <w:tcW w:w="1065" w:type="dxa"/>
            <w:vAlign w:val="center"/>
          </w:tcPr>
          <w:p>
            <w:pPr>
              <w:widowControl/>
              <w:jc w:val="left"/>
              <w:rPr>
                <w:rFonts w:eastAsia="宋体"/>
                <w:sz w:val="18"/>
                <w:szCs w:val="18"/>
              </w:rPr>
            </w:pPr>
            <w:r>
              <w:rPr>
                <w:rFonts w:hint="eastAsia" w:eastAsia="宋体"/>
                <w:sz w:val="18"/>
                <w:szCs w:val="18"/>
              </w:rPr>
              <w:t>ATG 5-1</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DRX</w:t>
            </w:r>
          </w:p>
        </w:tc>
        <w:tc>
          <w:tcPr>
            <w:tcW w:w="1065" w:type="dxa"/>
            <w:vAlign w:val="center"/>
          </w:tcPr>
          <w:p>
            <w:pPr>
              <w:widowControl/>
              <w:jc w:val="left"/>
              <w:rPr>
                <w:rFonts w:eastAsia="宋体"/>
                <w:sz w:val="18"/>
                <w:szCs w:val="18"/>
              </w:rPr>
            </w:pPr>
            <w:r>
              <w:rPr>
                <w:rFonts w:hint="eastAsia" w:eastAsia="宋体"/>
                <w:sz w:val="18"/>
                <w:szCs w:val="18"/>
              </w:rPr>
              <w:t>ATG 5-2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 per-UE gaps under non-DRX</w:t>
            </w:r>
          </w:p>
        </w:tc>
        <w:tc>
          <w:tcPr>
            <w:tcW w:w="1065" w:type="dxa"/>
            <w:vAlign w:val="center"/>
          </w:tcPr>
          <w:p>
            <w:pPr>
              <w:widowControl/>
              <w:jc w:val="left"/>
              <w:rPr>
                <w:rFonts w:eastAsia="宋体"/>
                <w:sz w:val="18"/>
                <w:szCs w:val="18"/>
              </w:rPr>
            </w:pPr>
            <w:r>
              <w:rPr>
                <w:rFonts w:hint="eastAsia" w:eastAsia="宋体"/>
                <w:sz w:val="18"/>
                <w:szCs w:val="18"/>
              </w:rPr>
              <w:t>ATG 5-3</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 per-UE gaps under DRX</w:t>
            </w:r>
          </w:p>
        </w:tc>
        <w:tc>
          <w:tcPr>
            <w:tcW w:w="1065" w:type="dxa"/>
            <w:vAlign w:val="center"/>
          </w:tcPr>
          <w:p>
            <w:pPr>
              <w:widowControl/>
              <w:jc w:val="left"/>
              <w:rPr>
                <w:rFonts w:eastAsia="宋体"/>
                <w:sz w:val="18"/>
                <w:szCs w:val="18"/>
              </w:rPr>
            </w:pPr>
            <w:r>
              <w:rPr>
                <w:rFonts w:hint="eastAsia" w:eastAsia="宋体"/>
                <w:sz w:val="18"/>
                <w:szCs w:val="18"/>
              </w:rPr>
              <w:t>ATG 5-4</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non-DRX with SSB index reading</w:t>
            </w:r>
          </w:p>
        </w:tc>
        <w:tc>
          <w:tcPr>
            <w:tcW w:w="1065" w:type="dxa"/>
            <w:vAlign w:val="center"/>
          </w:tcPr>
          <w:p>
            <w:pPr>
              <w:widowControl/>
              <w:jc w:val="left"/>
              <w:rPr>
                <w:rFonts w:eastAsia="宋体"/>
                <w:sz w:val="18"/>
                <w:szCs w:val="18"/>
              </w:rPr>
            </w:pPr>
            <w:r>
              <w:rPr>
                <w:rFonts w:hint="eastAsia" w:eastAsia="宋体"/>
                <w:sz w:val="18"/>
                <w:szCs w:val="18"/>
              </w:rPr>
              <w:t>ATG 5-5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SA event triggered reporting tests with per-UE gaps under non-DRX with SSB index reading</w:t>
            </w:r>
          </w:p>
        </w:tc>
        <w:tc>
          <w:tcPr>
            <w:tcW w:w="1065" w:type="dxa"/>
            <w:vAlign w:val="center"/>
          </w:tcPr>
          <w:p>
            <w:pPr>
              <w:widowControl/>
              <w:jc w:val="left"/>
              <w:rPr>
                <w:rFonts w:eastAsia="宋体"/>
                <w:sz w:val="18"/>
                <w:szCs w:val="18"/>
              </w:rPr>
            </w:pPr>
            <w:r>
              <w:rPr>
                <w:rFonts w:hint="eastAsia" w:eastAsia="宋体"/>
                <w:sz w:val="18"/>
                <w:szCs w:val="18"/>
              </w:rPr>
              <w:t>ATG 5-6</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SSB time index detection when DRX is not used</w:t>
            </w:r>
          </w:p>
        </w:tc>
        <w:tc>
          <w:tcPr>
            <w:tcW w:w="1065" w:type="dxa"/>
            <w:vAlign w:val="center"/>
          </w:tcPr>
          <w:p>
            <w:pPr>
              <w:widowControl/>
              <w:jc w:val="left"/>
              <w:rPr>
                <w:rFonts w:eastAsia="宋体"/>
                <w:sz w:val="18"/>
                <w:szCs w:val="18"/>
              </w:rPr>
            </w:pPr>
            <w:r>
              <w:rPr>
                <w:rFonts w:hint="eastAsia" w:eastAsia="宋体"/>
                <w:sz w:val="18"/>
                <w:szCs w:val="18"/>
              </w:rPr>
              <w:t>ATG 5-7</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SSB time index detection when DRX is used</w:t>
            </w:r>
          </w:p>
        </w:tc>
        <w:tc>
          <w:tcPr>
            <w:tcW w:w="1065" w:type="dxa"/>
            <w:vAlign w:val="center"/>
          </w:tcPr>
          <w:p>
            <w:pPr>
              <w:widowControl/>
              <w:jc w:val="left"/>
              <w:rPr>
                <w:rFonts w:eastAsia="宋体"/>
                <w:sz w:val="18"/>
                <w:szCs w:val="18"/>
              </w:rPr>
            </w:pPr>
            <w:r>
              <w:rPr>
                <w:rFonts w:hint="eastAsia" w:eastAsia="宋体"/>
                <w:sz w:val="18"/>
                <w:szCs w:val="18"/>
              </w:rPr>
              <w:t>ATG 5-8</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 SSB time index detection when DRX is not used</w:t>
            </w:r>
          </w:p>
        </w:tc>
        <w:tc>
          <w:tcPr>
            <w:tcW w:w="1065" w:type="dxa"/>
            <w:vAlign w:val="center"/>
          </w:tcPr>
          <w:p>
            <w:pPr>
              <w:widowControl/>
              <w:jc w:val="left"/>
              <w:rPr>
                <w:rFonts w:eastAsia="宋体"/>
                <w:sz w:val="18"/>
                <w:szCs w:val="18"/>
              </w:rPr>
            </w:pPr>
            <w:r>
              <w:rPr>
                <w:rFonts w:hint="eastAsia" w:eastAsia="宋体"/>
                <w:sz w:val="18"/>
                <w:szCs w:val="18"/>
              </w:rPr>
              <w:t>ATG 5-9</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 SSB time index detection when DRX is used</w:t>
            </w:r>
          </w:p>
        </w:tc>
        <w:tc>
          <w:tcPr>
            <w:tcW w:w="1065" w:type="dxa"/>
            <w:vAlign w:val="center"/>
          </w:tcPr>
          <w:p>
            <w:pPr>
              <w:widowControl/>
              <w:jc w:val="left"/>
              <w:rPr>
                <w:rFonts w:eastAsia="宋体"/>
                <w:sz w:val="18"/>
                <w:szCs w:val="18"/>
              </w:rPr>
            </w:pPr>
            <w:r>
              <w:rPr>
                <w:rFonts w:hint="eastAsia" w:eastAsia="宋体"/>
                <w:sz w:val="18"/>
                <w:szCs w:val="18"/>
              </w:rPr>
              <w:t>ATG 5-10</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gap when DRX is used</w:t>
            </w:r>
          </w:p>
        </w:tc>
        <w:tc>
          <w:tcPr>
            <w:tcW w:w="1065" w:type="dxa"/>
            <w:vAlign w:val="center"/>
          </w:tcPr>
          <w:p>
            <w:pPr>
              <w:widowControl/>
              <w:jc w:val="left"/>
              <w:rPr>
                <w:rFonts w:eastAsia="宋体"/>
                <w:sz w:val="18"/>
                <w:szCs w:val="18"/>
              </w:rPr>
            </w:pPr>
            <w:r>
              <w:rPr>
                <w:rFonts w:hint="eastAsia" w:eastAsia="宋体"/>
                <w:sz w:val="18"/>
                <w:szCs w:val="18"/>
              </w:rPr>
              <w:t>ATG 5-11</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gap when DRX is not used</w:t>
            </w:r>
          </w:p>
        </w:tc>
        <w:tc>
          <w:tcPr>
            <w:tcW w:w="1065" w:type="dxa"/>
            <w:vAlign w:val="center"/>
          </w:tcPr>
          <w:p>
            <w:pPr>
              <w:widowControl/>
              <w:jc w:val="left"/>
              <w:rPr>
                <w:rFonts w:eastAsia="宋体"/>
                <w:sz w:val="18"/>
                <w:szCs w:val="18"/>
              </w:rPr>
            </w:pPr>
            <w:r>
              <w:rPr>
                <w:rFonts w:hint="eastAsia" w:eastAsia="宋体"/>
                <w:sz w:val="18"/>
                <w:szCs w:val="18"/>
              </w:rPr>
              <w:t>ATG 5-12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SSB based L1-RSRP measurement when DRX is not used</w:t>
            </w:r>
          </w:p>
        </w:tc>
        <w:tc>
          <w:tcPr>
            <w:tcW w:w="1065" w:type="dxa"/>
            <w:vAlign w:val="center"/>
          </w:tcPr>
          <w:p>
            <w:pPr>
              <w:widowControl/>
              <w:jc w:val="left"/>
              <w:rPr>
                <w:rFonts w:eastAsia="宋体"/>
                <w:sz w:val="18"/>
                <w:szCs w:val="18"/>
              </w:rPr>
            </w:pPr>
            <w:r>
              <w:rPr>
                <w:rFonts w:hint="eastAsia" w:eastAsia="宋体"/>
                <w:sz w:val="18"/>
                <w:szCs w:val="18"/>
              </w:rPr>
              <w:t>ATG 5-13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SSB based L1-RSRP measurement when DRX is used</w:t>
            </w:r>
          </w:p>
        </w:tc>
        <w:tc>
          <w:tcPr>
            <w:tcW w:w="1065" w:type="dxa"/>
            <w:vAlign w:val="center"/>
          </w:tcPr>
          <w:p>
            <w:pPr>
              <w:widowControl/>
              <w:jc w:val="left"/>
              <w:rPr>
                <w:rFonts w:eastAsia="宋体"/>
                <w:sz w:val="18"/>
                <w:szCs w:val="18"/>
              </w:rPr>
            </w:pPr>
            <w:r>
              <w:rPr>
                <w:rFonts w:hint="eastAsia" w:eastAsia="宋体"/>
                <w:sz w:val="18"/>
                <w:szCs w:val="18"/>
              </w:rPr>
              <w:t>ATG 5-14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 based L1-RSRP measurement when DRX is not used</w:t>
            </w:r>
          </w:p>
        </w:tc>
        <w:tc>
          <w:tcPr>
            <w:tcW w:w="1065" w:type="dxa"/>
            <w:vAlign w:val="center"/>
          </w:tcPr>
          <w:p>
            <w:pPr>
              <w:widowControl/>
              <w:jc w:val="left"/>
              <w:rPr>
                <w:rFonts w:eastAsia="宋体"/>
                <w:sz w:val="18"/>
                <w:szCs w:val="18"/>
              </w:rPr>
            </w:pPr>
            <w:r>
              <w:rPr>
                <w:rFonts w:hint="eastAsia" w:eastAsia="宋体"/>
                <w:sz w:val="18"/>
                <w:szCs w:val="18"/>
              </w:rPr>
              <w:t>ATG 5-15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 based L1-RSRP measurement when DRX is used</w:t>
            </w:r>
          </w:p>
        </w:tc>
        <w:tc>
          <w:tcPr>
            <w:tcW w:w="1065" w:type="dxa"/>
            <w:vAlign w:val="center"/>
          </w:tcPr>
          <w:p>
            <w:pPr>
              <w:widowControl/>
              <w:jc w:val="left"/>
              <w:rPr>
                <w:rFonts w:eastAsia="宋体"/>
                <w:sz w:val="18"/>
                <w:szCs w:val="18"/>
              </w:rPr>
            </w:pPr>
            <w:r>
              <w:rPr>
                <w:rFonts w:hint="eastAsia" w:eastAsia="宋体"/>
                <w:sz w:val="18"/>
                <w:szCs w:val="18"/>
              </w:rPr>
              <w:t>ATG 5-16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no dedicated IMR configured when DRX is used</w:t>
            </w:r>
          </w:p>
        </w:tc>
        <w:tc>
          <w:tcPr>
            <w:tcW w:w="1065" w:type="dxa"/>
            <w:vAlign w:val="center"/>
          </w:tcPr>
          <w:p>
            <w:pPr>
              <w:widowControl/>
              <w:jc w:val="left"/>
              <w:rPr>
                <w:rFonts w:eastAsia="宋体"/>
                <w:sz w:val="18"/>
                <w:szCs w:val="18"/>
              </w:rPr>
            </w:pPr>
            <w:r>
              <w:rPr>
                <w:rFonts w:hint="eastAsia" w:eastAsia="宋体"/>
                <w:sz w:val="18"/>
                <w:szCs w:val="18"/>
              </w:rPr>
              <w:t>ATG 5-17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SSB based CMR and dedicated IMR when DRX is not used</w:t>
            </w:r>
          </w:p>
        </w:tc>
        <w:tc>
          <w:tcPr>
            <w:tcW w:w="1065" w:type="dxa"/>
            <w:vAlign w:val="center"/>
          </w:tcPr>
          <w:p>
            <w:pPr>
              <w:widowControl/>
              <w:jc w:val="left"/>
              <w:rPr>
                <w:rFonts w:eastAsia="宋体"/>
                <w:sz w:val="18"/>
                <w:szCs w:val="18"/>
              </w:rPr>
            </w:pPr>
            <w:r>
              <w:rPr>
                <w:rFonts w:hint="eastAsia" w:eastAsia="宋体"/>
                <w:sz w:val="18"/>
                <w:szCs w:val="18"/>
              </w:rPr>
              <w:t>ATG 5-18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dedicated IMR configured when DRX is not used</w:t>
            </w:r>
          </w:p>
        </w:tc>
        <w:tc>
          <w:tcPr>
            <w:tcW w:w="1065" w:type="dxa"/>
            <w:vAlign w:val="center"/>
          </w:tcPr>
          <w:p>
            <w:pPr>
              <w:widowControl/>
              <w:jc w:val="left"/>
              <w:rPr>
                <w:rFonts w:eastAsia="宋体"/>
                <w:sz w:val="18"/>
                <w:szCs w:val="18"/>
              </w:rPr>
            </w:pPr>
            <w:r>
              <w:rPr>
                <w:rFonts w:hint="eastAsia" w:eastAsia="宋体"/>
                <w:sz w:val="18"/>
                <w:szCs w:val="18"/>
              </w:rPr>
              <w:t>ATG 5-19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SA intra-frequency CGI identification of NR neighbor cell in FR1</w:t>
            </w:r>
          </w:p>
        </w:tc>
        <w:tc>
          <w:tcPr>
            <w:tcW w:w="1065" w:type="dxa"/>
            <w:vAlign w:val="center"/>
          </w:tcPr>
          <w:p>
            <w:pPr>
              <w:widowControl/>
              <w:jc w:val="left"/>
              <w:rPr>
                <w:rFonts w:eastAsia="宋体"/>
                <w:sz w:val="18"/>
                <w:szCs w:val="18"/>
              </w:rPr>
            </w:pPr>
            <w:r>
              <w:rPr>
                <w:rFonts w:hint="eastAsia" w:eastAsia="宋体"/>
                <w:sz w:val="18"/>
                <w:szCs w:val="18"/>
              </w:rPr>
              <w:t>ATG 5-20</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Measurement Performance requirements</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SS-RSRP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SS-RSRP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SS-RSRQ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116" w:type="dxa"/>
            <w:vAlign w:val="center"/>
          </w:tcPr>
          <w:p>
            <w:pPr>
              <w:widowControl/>
              <w:jc w:val="left"/>
              <w:rPr>
                <w:rFonts w:eastAsia="宋体"/>
                <w:sz w:val="18"/>
                <w:szCs w:val="18"/>
              </w:rPr>
            </w:pPr>
            <w:r>
              <w:rPr>
                <w:rFonts w:hint="eastAsia" w:eastAsia="宋体"/>
                <w:sz w:val="18"/>
                <w:szCs w:val="18"/>
              </w:rPr>
              <w:t>SS-RSRQ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SS-SINR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SS-SINR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L1-RSRP measurement SSB based L1-RSRP measurement</w:t>
            </w:r>
          </w:p>
        </w:tc>
        <w:tc>
          <w:tcPr>
            <w:tcW w:w="1065" w:type="dxa"/>
            <w:vAlign w:val="center"/>
          </w:tcPr>
          <w:p>
            <w:pPr>
              <w:widowControl/>
              <w:jc w:val="left"/>
              <w:rPr>
                <w:rFonts w:eastAsia="宋体"/>
                <w:sz w:val="18"/>
                <w:szCs w:val="18"/>
              </w:rPr>
            </w:pPr>
            <w:r>
              <w:rPr>
                <w:rFonts w:hint="eastAsia" w:eastAsia="宋体"/>
                <w:sz w:val="18"/>
                <w:szCs w:val="18"/>
              </w:rPr>
              <w:t>ATG 6-7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L1-RSRP measurement CSI-RS based L1-RSRP measurement on resource set with repetition off</w:t>
            </w:r>
          </w:p>
        </w:tc>
        <w:tc>
          <w:tcPr>
            <w:tcW w:w="1065" w:type="dxa"/>
            <w:vAlign w:val="center"/>
          </w:tcPr>
          <w:p>
            <w:pPr>
              <w:widowControl/>
              <w:jc w:val="left"/>
              <w:rPr>
                <w:rFonts w:eastAsia="宋体"/>
                <w:sz w:val="18"/>
                <w:szCs w:val="18"/>
              </w:rPr>
            </w:pPr>
            <w:r>
              <w:rPr>
                <w:rFonts w:hint="eastAsia" w:eastAsia="宋体"/>
                <w:sz w:val="18"/>
                <w:szCs w:val="18"/>
              </w:rPr>
              <w:t>ATG 6-8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no dedicated IMR configured and CSI-RS resource set with repetition off</w:t>
            </w:r>
          </w:p>
        </w:tc>
        <w:tc>
          <w:tcPr>
            <w:tcW w:w="1065" w:type="dxa"/>
            <w:vAlign w:val="center"/>
          </w:tcPr>
          <w:p>
            <w:pPr>
              <w:widowControl/>
              <w:jc w:val="left"/>
              <w:rPr>
                <w:rFonts w:eastAsia="宋体"/>
                <w:sz w:val="18"/>
                <w:szCs w:val="18"/>
              </w:rPr>
            </w:pPr>
            <w:r>
              <w:rPr>
                <w:rFonts w:hint="eastAsia" w:eastAsia="宋体"/>
                <w:sz w:val="18"/>
                <w:szCs w:val="18"/>
              </w:rPr>
              <w:t>ATG 6-9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SSB based CMR and dedicated IMR</w:t>
            </w:r>
          </w:p>
        </w:tc>
        <w:tc>
          <w:tcPr>
            <w:tcW w:w="1065" w:type="dxa"/>
            <w:vAlign w:val="center"/>
          </w:tcPr>
          <w:p>
            <w:pPr>
              <w:widowControl/>
              <w:jc w:val="left"/>
              <w:rPr>
                <w:rFonts w:eastAsia="宋体"/>
                <w:sz w:val="18"/>
                <w:szCs w:val="18"/>
              </w:rPr>
            </w:pPr>
            <w:r>
              <w:rPr>
                <w:rFonts w:hint="eastAsia" w:eastAsia="宋体"/>
                <w:sz w:val="18"/>
                <w:szCs w:val="18"/>
              </w:rPr>
              <w:t>ATG 6-10</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dedicated IMR</w:t>
            </w:r>
          </w:p>
        </w:tc>
        <w:tc>
          <w:tcPr>
            <w:tcW w:w="1065" w:type="dxa"/>
            <w:vAlign w:val="center"/>
          </w:tcPr>
          <w:p>
            <w:pPr>
              <w:widowControl/>
              <w:jc w:val="left"/>
              <w:rPr>
                <w:rFonts w:eastAsia="宋体"/>
                <w:sz w:val="18"/>
                <w:szCs w:val="18"/>
              </w:rPr>
            </w:pPr>
            <w:r>
              <w:rPr>
                <w:rFonts w:hint="eastAsia" w:eastAsia="宋体"/>
                <w:sz w:val="18"/>
                <w:szCs w:val="18"/>
              </w:rPr>
              <w:t>ATG 6-11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CSI-RSRP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CSI-RSRP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CSI-RSRQ Intra-frequency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CSI-RSRQ Inter-frequency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CSI-SINR intra-frequency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CSI-SINR Inter-frequency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6-17</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p>
      <w:pPr>
        <w:spacing w:before="60"/>
        <w:jc w:val="both"/>
        <w:rPr>
          <w:rFonts w:eastAsia="宋体"/>
          <w:b/>
          <w:bCs/>
          <w:i/>
          <w:iCs/>
          <w:sz w:val="20"/>
          <w:szCs w:val="20"/>
          <w:u w:val="single"/>
        </w:rPr>
      </w:pPr>
      <w:r>
        <w:rPr>
          <w:rFonts w:hint="eastAsia" w:eastAsia="宋体"/>
          <w:b/>
          <w:bCs/>
          <w:i/>
          <w:iCs/>
          <w:sz w:val="20"/>
          <w:szCs w:val="20"/>
          <w:u w:val="single"/>
        </w:rPr>
        <w:t>Test case design</w:t>
      </w:r>
    </w:p>
    <w:p>
      <w:pPr>
        <w:spacing w:before="60"/>
        <w:jc w:val="both"/>
        <w:rPr>
          <w:rFonts w:eastAsia="宋体"/>
          <w:b/>
          <w:bCs/>
          <w:i/>
          <w:iCs/>
          <w:sz w:val="20"/>
          <w:szCs w:val="20"/>
          <w:u w:val="single"/>
        </w:rPr>
      </w:pPr>
      <w:r>
        <w:rPr>
          <w:rFonts w:hint="eastAsia" w:eastAsia="宋体"/>
          <w:b/>
          <w:bCs/>
          <w:i/>
          <w:iCs/>
          <w:sz w:val="20"/>
          <w:szCs w:val="20"/>
          <w:u w:val="single"/>
        </w:rPr>
        <w:t>UE mobility</w:t>
      </w:r>
    </w:p>
    <w:p>
      <w:pPr>
        <w:spacing w:before="60"/>
        <w:jc w:val="both"/>
        <w:rPr>
          <w:rFonts w:eastAsia="宋体"/>
          <w:sz w:val="20"/>
          <w:szCs w:val="20"/>
        </w:rPr>
      </w:pPr>
      <w:r>
        <w:rPr>
          <w:rFonts w:hint="eastAsia" w:eastAsia="宋体"/>
          <w:sz w:val="20"/>
          <w:szCs w:val="20"/>
        </w:rPr>
        <w:t>For the test of location-based cell re-selection, location-based CHO and UL transmit timing tests, the UE mobility should be assumed with 1200km/h. For the other tests, UE could be assumed with no mobility.</w:t>
      </w:r>
    </w:p>
    <w:p>
      <w:pPr>
        <w:spacing w:before="60"/>
        <w:jc w:val="both"/>
        <w:rPr>
          <w:rFonts w:eastAsia="宋体"/>
          <w:b/>
          <w:bCs/>
          <w:i/>
          <w:iCs/>
          <w:sz w:val="20"/>
          <w:szCs w:val="20"/>
          <w:u w:val="single"/>
        </w:rPr>
      </w:pPr>
      <w:r>
        <w:rPr>
          <w:rFonts w:hint="eastAsia"/>
          <w:b/>
          <w:i/>
          <w:iCs/>
          <w:sz w:val="20"/>
          <w:szCs w:val="20"/>
        </w:rPr>
        <w:t>Proposal 5: For the location-based cell re-selection tests, location-based CHO tests and UL transmit timing tests, the UE mobility should be assumed with 1200km/h. For the other tests, UE could be assumed with no mobility.</w:t>
      </w:r>
    </w:p>
    <w:p>
      <w:pPr>
        <w:spacing w:before="60"/>
        <w:jc w:val="both"/>
        <w:rPr>
          <w:rFonts w:eastAsia="宋体"/>
          <w:b/>
          <w:bCs/>
          <w:i/>
          <w:iCs/>
          <w:sz w:val="20"/>
          <w:szCs w:val="20"/>
          <w:u w:val="single"/>
        </w:rPr>
      </w:pPr>
      <w:r>
        <w:rPr>
          <w:rFonts w:hint="eastAsia" w:eastAsia="宋体"/>
          <w:b/>
          <w:bCs/>
          <w:i/>
          <w:iCs/>
          <w:sz w:val="20"/>
          <w:szCs w:val="20"/>
          <w:u w:val="single"/>
        </w:rPr>
        <w:t>The number of neighbour cell</w:t>
      </w:r>
    </w:p>
    <w:p>
      <w:pPr>
        <w:spacing w:before="60"/>
        <w:jc w:val="both"/>
        <w:rPr>
          <w:rFonts w:eastAsia="宋体"/>
          <w:sz w:val="20"/>
          <w:szCs w:val="20"/>
        </w:rPr>
      </w:pPr>
      <w:r>
        <w:rPr>
          <w:rFonts w:hint="eastAsia" w:eastAsia="宋体"/>
          <w:sz w:val="20"/>
          <w:szCs w:val="20"/>
        </w:rPr>
        <w:t>For cell re-selection test and intra/inter-frequency measurement test, in the case of FDD configuration, 1 neighbour cell is enough to test UE behavior and requirements for UE with omnidirectional antenna. However, in the case of TDD configuration, we should choose some test cases to set 2 neighbour cells  to test UE behavior and requirements for UE with antenna array.</w:t>
      </w:r>
    </w:p>
    <w:p>
      <w:pPr>
        <w:spacing w:before="60"/>
        <w:jc w:val="both"/>
        <w:rPr>
          <w:b/>
          <w:i/>
          <w:iCs/>
          <w:sz w:val="20"/>
          <w:szCs w:val="20"/>
        </w:rPr>
      </w:pPr>
      <w:r>
        <w:rPr>
          <w:rFonts w:hint="eastAsia"/>
          <w:b/>
          <w:i/>
          <w:iCs/>
          <w:sz w:val="20"/>
          <w:szCs w:val="20"/>
        </w:rPr>
        <w:t>Proposal 6: For the FDD cell re-selection test and intra/inter-frequency measurement test for UE with omnidirectional antenna, configure 1 neighbour cell. For the TDD cell re-selection test and and intra/inter-frequency measurement test for UE with antenna array, choose some test cases to configure 2 neighbour cells.</w:t>
      </w:r>
    </w:p>
    <w:p>
      <w:pPr>
        <w:spacing w:before="60"/>
        <w:jc w:val="both"/>
        <w:rPr>
          <w:rFonts w:hint="eastAsia" w:eastAsia="宋体"/>
          <w:b/>
          <w:bCs/>
          <w:i/>
          <w:iCs/>
          <w:sz w:val="20"/>
          <w:szCs w:val="20"/>
          <w:u w:val="single"/>
          <w:lang w:val="en-US" w:eastAsia="zh-CN"/>
        </w:rPr>
      </w:pPr>
      <w:r>
        <w:rPr>
          <w:rFonts w:hint="eastAsia" w:eastAsia="宋体"/>
          <w:b/>
          <w:bCs/>
          <w:i/>
          <w:iCs/>
          <w:sz w:val="20"/>
          <w:szCs w:val="20"/>
          <w:u w:val="single"/>
          <w:lang w:val="en-US" w:eastAsia="zh-CN"/>
        </w:rPr>
        <w:t>Channel model</w:t>
      </w:r>
    </w:p>
    <w:p>
      <w:pPr>
        <w:spacing w:before="60"/>
        <w:jc w:val="both"/>
        <w:rPr>
          <w:rFonts w:hint="eastAsia" w:eastAsia="宋体"/>
          <w:b w:val="0"/>
          <w:bCs w:val="0"/>
          <w:i w:val="0"/>
          <w:iCs w:val="0"/>
          <w:sz w:val="20"/>
          <w:szCs w:val="20"/>
          <w:u w:val="none"/>
          <w:lang w:val="en-US" w:eastAsia="zh-CN"/>
        </w:rPr>
      </w:pPr>
      <w:r>
        <w:rPr>
          <w:rFonts w:hint="eastAsia" w:eastAsia="宋体"/>
          <w:b w:val="0"/>
          <w:bCs w:val="0"/>
          <w:i w:val="0"/>
          <w:iCs w:val="0"/>
          <w:sz w:val="20"/>
          <w:szCs w:val="20"/>
          <w:u w:val="none"/>
          <w:lang w:val="en-US" w:eastAsia="zh-CN"/>
        </w:rPr>
        <w:t>In the discussion of demod session, the AWGN with residual doppler channel model is used for ATG scenario, we proposal to keep the same design and use the AWGN with residual doppler channel model in RRM test cases.</w:t>
      </w:r>
    </w:p>
    <w:p>
      <w:pPr>
        <w:spacing w:before="60"/>
        <w:jc w:val="both"/>
        <w:rPr>
          <w:rFonts w:hint="eastAsia" w:eastAsia="宋体"/>
          <w:b w:val="0"/>
          <w:bCs w:val="0"/>
          <w:i w:val="0"/>
          <w:iCs w:val="0"/>
          <w:sz w:val="20"/>
          <w:szCs w:val="20"/>
          <w:u w:val="none"/>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w:t>
      </w:r>
      <w:r>
        <w:rPr>
          <w:rFonts w:hint="eastAsia"/>
          <w:b/>
          <w:i/>
          <w:iCs/>
          <w:sz w:val="20"/>
          <w:szCs w:val="20"/>
          <w:lang w:val="en-US" w:eastAsia="zh-CN"/>
        </w:rPr>
        <w:t>U</w:t>
      </w:r>
      <w:r>
        <w:rPr>
          <w:rFonts w:hint="eastAsia" w:eastAsiaTheme="minorEastAsia"/>
          <w:b/>
          <w:bCs w:val="0"/>
          <w:i/>
          <w:iCs/>
          <w:sz w:val="20"/>
          <w:szCs w:val="20"/>
          <w:u w:val="none"/>
          <w:lang w:val="en-US" w:eastAsia="zh-CN"/>
        </w:rPr>
        <w:t>se the AWGN</w:t>
      </w:r>
      <w:r>
        <w:rPr>
          <w:rFonts w:hint="eastAsia"/>
          <w:b/>
          <w:bCs w:val="0"/>
          <w:i/>
          <w:iCs/>
          <w:sz w:val="20"/>
          <w:szCs w:val="20"/>
          <w:u w:val="none"/>
          <w:lang w:val="en-US" w:eastAsia="zh-CN"/>
        </w:rPr>
        <w:t xml:space="preserve"> </w:t>
      </w:r>
      <w:r>
        <w:rPr>
          <w:rFonts w:hint="eastAsia" w:eastAsiaTheme="minorEastAsia"/>
          <w:b/>
          <w:bCs w:val="0"/>
          <w:i/>
          <w:iCs/>
          <w:sz w:val="20"/>
          <w:szCs w:val="20"/>
          <w:u w:val="none"/>
          <w:lang w:val="en-US" w:eastAsia="zh-CN"/>
        </w:rPr>
        <w:t>with residual doppler channel model for RRM test cases.</w:t>
      </w:r>
    </w:p>
    <w:p>
      <w:pPr>
        <w:spacing w:before="60"/>
        <w:jc w:val="both"/>
        <w:rPr>
          <w:rFonts w:eastAsia="宋体"/>
          <w:b/>
          <w:bCs/>
          <w:i/>
          <w:iCs/>
          <w:sz w:val="20"/>
          <w:szCs w:val="20"/>
          <w:u w:val="single"/>
        </w:rPr>
      </w:pPr>
      <w:r>
        <w:rPr>
          <w:rFonts w:hint="eastAsia" w:eastAsia="宋体"/>
          <w:b/>
          <w:bCs/>
          <w:i/>
          <w:iCs/>
          <w:sz w:val="20"/>
          <w:szCs w:val="20"/>
          <w:u w:val="single"/>
        </w:rPr>
        <w:t>GNSS acquirement</w:t>
      </w:r>
    </w:p>
    <w:p>
      <w:pPr>
        <w:spacing w:before="60"/>
        <w:jc w:val="both"/>
        <w:rPr>
          <w:rFonts w:eastAsia="宋体"/>
          <w:sz w:val="20"/>
          <w:szCs w:val="20"/>
        </w:rPr>
      </w:pPr>
      <w:r>
        <w:rPr>
          <w:rFonts w:hint="eastAsia" w:eastAsia="宋体"/>
          <w:sz w:val="20"/>
          <w:szCs w:val="20"/>
        </w:rPr>
        <w:t>Similar GNSS acquirement method as NTN can be reused. However, the issue is still under discussion of NTN WI, we can wait more progress.</w:t>
      </w:r>
    </w:p>
    <w:p>
      <w:pPr>
        <w:spacing w:before="60"/>
        <w:jc w:val="both"/>
        <w:rPr>
          <w:rFonts w:eastAsia="宋体"/>
          <w:sz w:val="20"/>
          <w:szCs w:val="20"/>
        </w:rPr>
      </w:pPr>
    </w:p>
    <w:bookmarkEnd w:id="6"/>
    <w:bookmarkEnd w:id="9"/>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7"/>
      <w:bookmarkEnd w:id="8"/>
    </w:p>
    <w:p>
      <w:pPr>
        <w:spacing w:before="60"/>
        <w:jc w:val="both"/>
        <w:rPr>
          <w:b/>
          <w:i/>
          <w:iCs/>
          <w:sz w:val="20"/>
          <w:szCs w:val="20"/>
        </w:rPr>
      </w:pPr>
      <w:r>
        <w:rPr>
          <w:rFonts w:hint="eastAsia"/>
          <w:b/>
          <w:i/>
          <w:iCs/>
          <w:sz w:val="20"/>
          <w:szCs w:val="20"/>
        </w:rPr>
        <w:t>Proposal 1: Reuse the Es/Iot side condition and measurement accuracy requirement of legacy TN network for ATG.</w:t>
      </w:r>
    </w:p>
    <w:p>
      <w:pPr>
        <w:spacing w:before="60"/>
        <w:jc w:val="both"/>
        <w:rPr>
          <w:b/>
          <w:i/>
          <w:iCs/>
          <w:sz w:val="20"/>
          <w:szCs w:val="20"/>
        </w:rPr>
      </w:pPr>
      <w:r>
        <w:rPr>
          <w:rFonts w:hint="eastAsia"/>
          <w:b/>
          <w:i/>
          <w:iCs/>
          <w:sz w:val="20"/>
          <w:szCs w:val="20"/>
        </w:rPr>
        <w:t>Proposal 2: Consider two general test configurations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i/>
                <w:iCs/>
                <w:sz w:val="20"/>
                <w:szCs w:val="20"/>
              </w:rPr>
            </w:pPr>
            <w:r>
              <w:rPr>
                <w:rFonts w:ascii="Times New Roman" w:hAnsi="Times New Roman"/>
                <w:i/>
                <w:iCs/>
                <w:sz w:val="20"/>
                <w:szCs w:val="20"/>
              </w:rPr>
              <w:t>Configuration</w:t>
            </w:r>
          </w:p>
        </w:tc>
        <w:tc>
          <w:tcPr>
            <w:tcW w:w="6298" w:type="dxa"/>
            <w:tcBorders>
              <w:top w:val="single" w:color="auto" w:sz="4" w:space="0"/>
              <w:left w:val="single" w:color="auto" w:sz="4" w:space="0"/>
              <w:bottom w:val="single" w:color="auto" w:sz="4" w:space="0"/>
              <w:right w:val="single" w:color="auto" w:sz="4" w:space="0"/>
            </w:tcBorders>
          </w:tcPr>
          <w:p>
            <w:pPr>
              <w:pStyle w:val="15"/>
              <w:rPr>
                <w:rFonts w:ascii="Times New Roman" w:hAnsi="Times New Roman"/>
                <w:i/>
                <w:iCs/>
                <w:sz w:val="20"/>
                <w:szCs w:val="20"/>
              </w:rPr>
            </w:pPr>
            <w:r>
              <w:rPr>
                <w:rFonts w:ascii="Times New Roman" w:hAnsi="Times New Roman"/>
                <w:i/>
                <w:iCs/>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1</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4"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2</w:t>
            </w:r>
          </w:p>
        </w:tc>
        <w:tc>
          <w:tcPr>
            <w:tcW w:w="6298" w:type="dxa"/>
            <w:tcBorders>
              <w:top w:val="single" w:color="auto" w:sz="4" w:space="0"/>
              <w:left w:val="single" w:color="auto" w:sz="4" w:space="0"/>
              <w:bottom w:val="single" w:color="auto" w:sz="4" w:space="0"/>
              <w:right w:val="single" w:color="auto" w:sz="4" w:space="0"/>
            </w:tcBorders>
          </w:tcPr>
          <w:p>
            <w:pPr>
              <w:pStyle w:val="17"/>
              <w:rPr>
                <w:rFonts w:ascii="Times New Roman" w:hAnsi="Times New Roman"/>
                <w:b/>
                <w:i/>
                <w:iCs/>
                <w:sz w:val="20"/>
                <w:szCs w:val="20"/>
              </w:rPr>
            </w:pPr>
            <w:r>
              <w:rPr>
                <w:rFonts w:ascii="Times New Roman" w:hAnsi="Times New Roman"/>
                <w:b/>
                <w:i/>
                <w:iCs/>
                <w:sz w:val="20"/>
                <w:szCs w:val="20"/>
              </w:rPr>
              <w:t>30 kHz SSB SCS, 40 MHz bandwidth, TDD duplex mode</w:t>
            </w:r>
          </w:p>
        </w:tc>
      </w:tr>
    </w:tbl>
    <w:p>
      <w:pPr>
        <w:spacing w:before="60"/>
        <w:rPr>
          <w:rFonts w:hint="eastAsia"/>
          <w:b/>
          <w:i/>
          <w:iCs/>
          <w:sz w:val="20"/>
          <w:szCs w:val="20"/>
        </w:rPr>
      </w:pPr>
      <w:r>
        <w:rPr>
          <w:rFonts w:hint="eastAsia"/>
          <w:b/>
          <w:i/>
          <w:iCs/>
          <w:sz w:val="20"/>
          <w:szCs w:val="20"/>
        </w:rPr>
        <w:t xml:space="preserve">Proposal 3: Define FDD </w:t>
      </w:r>
      <w:r>
        <w:rPr>
          <w:rFonts w:hint="eastAsia"/>
          <w:b/>
          <w:i/>
          <w:iCs/>
          <w:sz w:val="20"/>
          <w:szCs w:val="20"/>
          <w:lang w:val="en-US" w:eastAsia="zh-CN"/>
        </w:rPr>
        <w:t xml:space="preserve">and TDD </w:t>
      </w:r>
      <w:r>
        <w:rPr>
          <w:rFonts w:hint="eastAsia"/>
          <w:b/>
          <w:i/>
          <w:iCs/>
          <w:sz w:val="20"/>
          <w:szCs w:val="20"/>
        </w:rPr>
        <w:t>test cases and test requirements for UE with omnidirectional antennas. Define TDD test cases and test requirements for UE with antenna array.</w:t>
      </w:r>
    </w:p>
    <w:p>
      <w:pPr>
        <w:spacing w:before="60"/>
        <w:jc w:val="both"/>
        <w:rPr>
          <w:b/>
          <w:i/>
          <w:iCs/>
          <w:sz w:val="20"/>
          <w:szCs w:val="20"/>
        </w:rPr>
      </w:pPr>
      <w:r>
        <w:rPr>
          <w:rFonts w:hint="eastAsia"/>
          <w:b/>
          <w:i/>
          <w:iCs/>
          <w:sz w:val="20"/>
          <w:szCs w:val="20"/>
        </w:rPr>
        <w:t>Proposal 4: Define following test cases for ATG:</w:t>
      </w:r>
    </w:p>
    <w:tbl>
      <w:tblPr>
        <w:tblStyle w:val="10"/>
        <w:tblW w:w="8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4"/>
        <w:gridCol w:w="1050"/>
        <w:gridCol w:w="2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124"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18"/>
                <w:szCs w:val="18"/>
              </w:rPr>
            </w:pPr>
            <w:r>
              <w:rPr>
                <w:rFonts w:hint="eastAsia" w:eastAsia="宋体"/>
                <w:b/>
                <w:bCs/>
                <w:sz w:val="18"/>
                <w:szCs w:val="18"/>
              </w:rPr>
              <w:t>RRC_IDLE state mobility</w:t>
            </w:r>
          </w:p>
        </w:tc>
        <w:tc>
          <w:tcPr>
            <w:tcW w:w="1050" w:type="dxa"/>
          </w:tcPr>
          <w:p>
            <w:pPr>
              <w:widowControl/>
              <w:jc w:val="center"/>
              <w:rPr>
                <w:rFonts w:eastAsia="宋体"/>
                <w:b/>
                <w:bCs/>
                <w:sz w:val="18"/>
                <w:szCs w:val="18"/>
              </w:rPr>
            </w:pPr>
            <w:r>
              <w:rPr>
                <w:rFonts w:hint="eastAsia" w:eastAsia="宋体"/>
                <w:b/>
                <w:bCs/>
                <w:sz w:val="18"/>
                <w:szCs w:val="18"/>
              </w:rPr>
              <w:t>Test number</w:t>
            </w:r>
          </w:p>
        </w:tc>
        <w:tc>
          <w:tcPr>
            <w:tcW w:w="2357" w:type="dxa"/>
          </w:tcPr>
          <w:p>
            <w:pPr>
              <w:widowControl/>
              <w:jc w:val="center"/>
              <w:rPr>
                <w:rFonts w:eastAsia="宋体"/>
                <w:b/>
                <w:bCs/>
                <w:sz w:val="18"/>
                <w:szCs w:val="18"/>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5124" w:type="dxa"/>
            <w:vAlign w:val="center"/>
          </w:tcPr>
          <w:p>
            <w:pPr>
              <w:widowControl/>
              <w:jc w:val="left"/>
              <w:rPr>
                <w:rFonts w:eastAsia="宋体"/>
                <w:sz w:val="18"/>
                <w:szCs w:val="18"/>
              </w:rPr>
            </w:pPr>
            <w:r>
              <w:rPr>
                <w:rFonts w:hint="eastAsia" w:eastAsia="宋体"/>
                <w:sz w:val="18"/>
                <w:szCs w:val="18"/>
              </w:rPr>
              <w:t>Cell reselection to intra-frequency neighbour cell</w:t>
            </w:r>
          </w:p>
        </w:tc>
        <w:tc>
          <w:tcPr>
            <w:tcW w:w="1050" w:type="dxa"/>
            <w:vAlign w:val="center"/>
          </w:tcPr>
          <w:p>
            <w:pPr>
              <w:widowControl/>
              <w:jc w:val="left"/>
              <w:rPr>
                <w:rFonts w:eastAsia="宋体"/>
                <w:sz w:val="18"/>
                <w:szCs w:val="18"/>
              </w:rPr>
            </w:pPr>
            <w:r>
              <w:rPr>
                <w:rFonts w:hint="eastAsia" w:eastAsia="宋体"/>
                <w:sz w:val="18"/>
                <w:szCs w:val="18"/>
              </w:rPr>
              <w:t>ATG 1-1</w:t>
            </w:r>
          </w:p>
        </w:tc>
        <w:tc>
          <w:tcPr>
            <w:tcW w:w="2357" w:type="dxa"/>
            <w:vMerge w:val="restart"/>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Location based cell reselection to intra-frequency neighbour cell</w:t>
            </w:r>
          </w:p>
        </w:tc>
        <w:tc>
          <w:tcPr>
            <w:tcW w:w="1050" w:type="dxa"/>
            <w:vAlign w:val="center"/>
          </w:tcPr>
          <w:p>
            <w:pPr>
              <w:widowControl/>
              <w:jc w:val="left"/>
              <w:rPr>
                <w:rFonts w:eastAsia="宋体"/>
                <w:sz w:val="18"/>
                <w:szCs w:val="18"/>
              </w:rPr>
            </w:pPr>
            <w:r>
              <w:rPr>
                <w:rFonts w:hint="eastAsia" w:eastAsia="宋体"/>
                <w:sz w:val="18"/>
                <w:szCs w:val="18"/>
              </w:rPr>
              <w:t>ATG 1-2</w:t>
            </w:r>
          </w:p>
        </w:tc>
        <w:tc>
          <w:tcPr>
            <w:tcW w:w="2357" w:type="dxa"/>
            <w:vMerge w:val="continue"/>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Cell reselection to inter-frequency neighbour cell</w:t>
            </w:r>
          </w:p>
        </w:tc>
        <w:tc>
          <w:tcPr>
            <w:tcW w:w="1050" w:type="dxa"/>
            <w:vAlign w:val="center"/>
          </w:tcPr>
          <w:p>
            <w:pPr>
              <w:widowControl/>
              <w:jc w:val="left"/>
              <w:rPr>
                <w:rFonts w:eastAsia="宋体"/>
                <w:sz w:val="18"/>
                <w:szCs w:val="18"/>
              </w:rPr>
            </w:pPr>
            <w:r>
              <w:rPr>
                <w:rFonts w:hint="eastAsia" w:eastAsia="宋体"/>
                <w:sz w:val="18"/>
                <w:szCs w:val="18"/>
              </w:rPr>
              <w:t>ATG 1-3</w:t>
            </w:r>
          </w:p>
        </w:tc>
        <w:tc>
          <w:tcPr>
            <w:tcW w:w="2357"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Cell reselection to inter-frequency NR cell for UE configured with [enhanced requirements]</w:t>
            </w:r>
          </w:p>
        </w:tc>
        <w:tc>
          <w:tcPr>
            <w:tcW w:w="1050" w:type="dxa"/>
            <w:vAlign w:val="center"/>
          </w:tcPr>
          <w:p>
            <w:pPr>
              <w:widowControl/>
              <w:jc w:val="left"/>
              <w:rPr>
                <w:rFonts w:eastAsia="宋体"/>
                <w:sz w:val="18"/>
                <w:szCs w:val="18"/>
              </w:rPr>
            </w:pPr>
            <w:r>
              <w:rPr>
                <w:rFonts w:hint="eastAsia" w:eastAsia="宋体"/>
                <w:sz w:val="18"/>
                <w:szCs w:val="18"/>
              </w:rPr>
              <w:t>ATG 1-4</w:t>
            </w:r>
          </w:p>
        </w:tc>
        <w:tc>
          <w:tcPr>
            <w:tcW w:w="2357" w:type="dxa"/>
            <w:vMerge w:val="restart"/>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4" w:type="dxa"/>
            <w:vAlign w:val="center"/>
          </w:tcPr>
          <w:p>
            <w:pPr>
              <w:widowControl/>
              <w:jc w:val="left"/>
              <w:rPr>
                <w:rFonts w:eastAsia="宋体"/>
                <w:sz w:val="18"/>
                <w:szCs w:val="18"/>
              </w:rPr>
            </w:pPr>
            <w:r>
              <w:rPr>
                <w:rFonts w:hint="eastAsia" w:eastAsia="宋体"/>
                <w:sz w:val="18"/>
                <w:szCs w:val="18"/>
              </w:rPr>
              <w:t>Location based cell reselection to inter-frequency neighbour cell</w:t>
            </w:r>
          </w:p>
        </w:tc>
        <w:tc>
          <w:tcPr>
            <w:tcW w:w="1050" w:type="dxa"/>
            <w:vAlign w:val="center"/>
          </w:tcPr>
          <w:p>
            <w:pPr>
              <w:widowControl/>
              <w:jc w:val="left"/>
              <w:rPr>
                <w:rFonts w:eastAsia="宋体"/>
                <w:sz w:val="18"/>
                <w:szCs w:val="18"/>
              </w:rPr>
            </w:pPr>
            <w:r>
              <w:rPr>
                <w:rFonts w:hint="eastAsia" w:eastAsia="宋体"/>
                <w:sz w:val="18"/>
                <w:szCs w:val="18"/>
              </w:rPr>
              <w:t>ATG 1-5</w:t>
            </w:r>
          </w:p>
        </w:tc>
        <w:tc>
          <w:tcPr>
            <w:tcW w:w="2357" w:type="dxa"/>
            <w:vMerge w:val="continue"/>
            <w:vAlign w:val="center"/>
          </w:tcPr>
          <w:p>
            <w:pPr>
              <w:widowControl/>
              <w:jc w:val="left"/>
              <w:rPr>
                <w:rFonts w:eastAsia="宋体"/>
                <w:sz w:val="18"/>
                <w:szCs w:val="18"/>
              </w:rPr>
            </w:pP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9"/>
        <w:gridCol w:w="1062"/>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RRC_CONNECTED state mobility</w:t>
            </w:r>
          </w:p>
        </w:tc>
        <w:tc>
          <w:tcPr>
            <w:tcW w:w="1062"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HO with known target cell</w:t>
            </w:r>
          </w:p>
        </w:tc>
        <w:tc>
          <w:tcPr>
            <w:tcW w:w="1062" w:type="dxa"/>
            <w:vAlign w:val="center"/>
          </w:tcPr>
          <w:p>
            <w:pPr>
              <w:widowControl/>
              <w:jc w:val="left"/>
              <w:rPr>
                <w:rFonts w:eastAsia="宋体"/>
                <w:sz w:val="18"/>
                <w:szCs w:val="18"/>
              </w:rPr>
            </w:pPr>
            <w:r>
              <w:rPr>
                <w:rFonts w:hint="eastAsia" w:eastAsia="宋体"/>
                <w:sz w:val="18"/>
                <w:szCs w:val="18"/>
              </w:rPr>
              <w:t>ATG 2-1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HO with unknown target cell</w:t>
            </w:r>
          </w:p>
        </w:tc>
        <w:tc>
          <w:tcPr>
            <w:tcW w:w="1062" w:type="dxa"/>
            <w:vAlign w:val="center"/>
          </w:tcPr>
          <w:p>
            <w:pPr>
              <w:widowControl/>
              <w:jc w:val="left"/>
              <w:rPr>
                <w:rFonts w:eastAsia="宋体"/>
                <w:sz w:val="18"/>
                <w:szCs w:val="18"/>
              </w:rPr>
            </w:pPr>
            <w:r>
              <w:rPr>
                <w:rFonts w:hint="eastAsia" w:eastAsia="宋体"/>
                <w:sz w:val="18"/>
                <w:szCs w:val="18"/>
              </w:rPr>
              <w:t>ATG 2-2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HO with known target cell</w:t>
            </w:r>
          </w:p>
        </w:tc>
        <w:tc>
          <w:tcPr>
            <w:tcW w:w="1062" w:type="dxa"/>
            <w:vAlign w:val="center"/>
          </w:tcPr>
          <w:p>
            <w:pPr>
              <w:widowControl/>
              <w:jc w:val="left"/>
              <w:rPr>
                <w:rFonts w:eastAsia="宋体"/>
                <w:sz w:val="18"/>
                <w:szCs w:val="18"/>
              </w:rPr>
            </w:pPr>
            <w:r>
              <w:rPr>
                <w:rFonts w:hint="eastAsia" w:eastAsia="宋体"/>
                <w:sz w:val="18"/>
                <w:szCs w:val="18"/>
              </w:rPr>
              <w:t>ATG 2-3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HO with unknown target cell</w:t>
            </w:r>
          </w:p>
        </w:tc>
        <w:tc>
          <w:tcPr>
            <w:tcW w:w="1062" w:type="dxa"/>
            <w:vAlign w:val="center"/>
          </w:tcPr>
          <w:p>
            <w:pPr>
              <w:widowControl/>
              <w:jc w:val="left"/>
              <w:rPr>
                <w:rFonts w:eastAsia="宋体"/>
                <w:sz w:val="18"/>
                <w:szCs w:val="18"/>
              </w:rPr>
            </w:pPr>
            <w:r>
              <w:rPr>
                <w:rFonts w:hint="eastAsia" w:eastAsia="宋体"/>
                <w:sz w:val="18"/>
                <w:szCs w:val="18"/>
              </w:rPr>
              <w:t>ATG 2-4</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Intra-frequency location based CHO </w:t>
            </w:r>
          </w:p>
        </w:tc>
        <w:tc>
          <w:tcPr>
            <w:tcW w:w="1062" w:type="dxa"/>
            <w:vAlign w:val="center"/>
          </w:tcPr>
          <w:p>
            <w:pPr>
              <w:widowControl/>
              <w:jc w:val="left"/>
              <w:rPr>
                <w:rFonts w:eastAsia="宋体"/>
                <w:sz w:val="18"/>
                <w:szCs w:val="18"/>
              </w:rPr>
            </w:pPr>
            <w:r>
              <w:rPr>
                <w:rFonts w:hint="eastAsia" w:eastAsia="宋体"/>
                <w:sz w:val="18"/>
                <w:szCs w:val="18"/>
              </w:rPr>
              <w:t>ATG 2-5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Inter-frequency location based CHO </w:t>
            </w:r>
          </w:p>
        </w:tc>
        <w:tc>
          <w:tcPr>
            <w:tcW w:w="1062" w:type="dxa"/>
            <w:vAlign w:val="center"/>
          </w:tcPr>
          <w:p>
            <w:pPr>
              <w:widowControl/>
              <w:jc w:val="left"/>
              <w:rPr>
                <w:rFonts w:eastAsia="宋体"/>
                <w:sz w:val="18"/>
                <w:szCs w:val="18"/>
              </w:rPr>
            </w:pPr>
            <w:r>
              <w:rPr>
                <w:rFonts w:hint="eastAsia" w:eastAsia="宋体"/>
                <w:sz w:val="18"/>
                <w:szCs w:val="18"/>
              </w:rPr>
              <w:t>ATG 2-6</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Intra-frequency RRC Re-establishment with known target cell</w:t>
            </w:r>
          </w:p>
        </w:tc>
        <w:tc>
          <w:tcPr>
            <w:tcW w:w="1062" w:type="dxa"/>
            <w:vAlign w:val="center"/>
          </w:tcPr>
          <w:p>
            <w:pPr>
              <w:widowControl/>
              <w:jc w:val="left"/>
              <w:rPr>
                <w:rFonts w:eastAsia="宋体"/>
                <w:sz w:val="18"/>
                <w:szCs w:val="18"/>
              </w:rPr>
            </w:pPr>
            <w:r>
              <w:rPr>
                <w:rFonts w:hint="eastAsia" w:eastAsia="宋体"/>
                <w:sz w:val="18"/>
                <w:szCs w:val="18"/>
              </w:rPr>
              <w:t>ATG 2-7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Intra-frequency RRC Re-establishment with unknown target cell </w:t>
            </w:r>
          </w:p>
        </w:tc>
        <w:tc>
          <w:tcPr>
            <w:tcW w:w="1062" w:type="dxa"/>
            <w:vAlign w:val="center"/>
          </w:tcPr>
          <w:p>
            <w:pPr>
              <w:widowControl/>
              <w:jc w:val="left"/>
              <w:rPr>
                <w:rFonts w:eastAsia="宋体"/>
                <w:sz w:val="18"/>
                <w:szCs w:val="18"/>
              </w:rPr>
            </w:pPr>
            <w:r>
              <w:rPr>
                <w:rFonts w:hint="eastAsia" w:eastAsia="宋体"/>
                <w:sz w:val="18"/>
                <w:szCs w:val="18"/>
              </w:rPr>
              <w:t>ATG 2-8</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Inter-frequency RRC Re-establishment with known target cell</w:t>
            </w:r>
          </w:p>
        </w:tc>
        <w:tc>
          <w:tcPr>
            <w:tcW w:w="1062" w:type="dxa"/>
            <w:vAlign w:val="center"/>
          </w:tcPr>
          <w:p>
            <w:pPr>
              <w:widowControl/>
              <w:jc w:val="left"/>
              <w:rPr>
                <w:rFonts w:eastAsia="宋体"/>
                <w:sz w:val="18"/>
                <w:szCs w:val="18"/>
              </w:rPr>
            </w:pPr>
            <w:r>
              <w:rPr>
                <w:rFonts w:hint="eastAsia" w:eastAsia="宋体"/>
                <w:sz w:val="18"/>
                <w:szCs w:val="18"/>
              </w:rPr>
              <w:t>ATG 2-9</w:t>
            </w:r>
          </w:p>
        </w:tc>
        <w:tc>
          <w:tcPr>
            <w:tcW w:w="2341" w:type="dxa"/>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 xml:space="preserve">Inter-frequency RRC Re-establishment with unknown target cell </w:t>
            </w:r>
          </w:p>
        </w:tc>
        <w:tc>
          <w:tcPr>
            <w:tcW w:w="1062" w:type="dxa"/>
            <w:vAlign w:val="center"/>
          </w:tcPr>
          <w:p>
            <w:pPr>
              <w:widowControl/>
              <w:jc w:val="left"/>
              <w:rPr>
                <w:rFonts w:eastAsia="宋体"/>
                <w:sz w:val="18"/>
                <w:szCs w:val="18"/>
              </w:rPr>
            </w:pPr>
            <w:r>
              <w:rPr>
                <w:rFonts w:hint="eastAsia" w:eastAsia="宋体"/>
                <w:sz w:val="18"/>
                <w:szCs w:val="18"/>
              </w:rPr>
              <w:t>ATG 2-10</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4-step RA type 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4-step RA type Non-Contention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2-step RA type 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2-step RA type Non-Contention based random access test</w:t>
            </w:r>
          </w:p>
        </w:tc>
        <w:tc>
          <w:tcPr>
            <w:tcW w:w="1062" w:type="dxa"/>
            <w:vAlign w:val="center"/>
          </w:tcPr>
          <w:p>
            <w:pPr>
              <w:widowControl/>
              <w:jc w:val="left"/>
              <w:rPr>
                <w:rFonts w:eastAsia="宋体"/>
                <w:sz w:val="18"/>
                <w:szCs w:val="18"/>
              </w:rPr>
            </w:pPr>
            <w:r>
              <w:rPr>
                <w:rFonts w:hint="eastAsia" w:eastAsia="宋体"/>
                <w:sz w:val="18"/>
                <w:szCs w:val="18"/>
              </w:rPr>
              <w:t>ATG 2-14</w:t>
            </w:r>
          </w:p>
        </w:tc>
        <w:tc>
          <w:tcPr>
            <w:tcW w:w="2341" w:type="dxa"/>
            <w:vAlign w:val="center"/>
          </w:tcPr>
          <w:p>
            <w:pPr>
              <w:widowControl/>
              <w:jc w:val="left"/>
              <w:rPr>
                <w:rFonts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9" w:type="dxa"/>
            <w:vAlign w:val="center"/>
          </w:tcPr>
          <w:p>
            <w:pPr>
              <w:widowControl/>
              <w:jc w:val="left"/>
              <w:rPr>
                <w:rFonts w:eastAsia="宋体"/>
                <w:sz w:val="18"/>
                <w:szCs w:val="18"/>
              </w:rPr>
            </w:pPr>
            <w:r>
              <w:rPr>
                <w:rFonts w:hint="eastAsia" w:eastAsia="宋体"/>
                <w:sz w:val="18"/>
                <w:szCs w:val="18"/>
              </w:rPr>
              <w:t>RRC Connection Release with Redirection</w:t>
            </w:r>
          </w:p>
        </w:tc>
        <w:tc>
          <w:tcPr>
            <w:tcW w:w="1062" w:type="dxa"/>
            <w:vAlign w:val="center"/>
          </w:tcPr>
          <w:p>
            <w:pPr>
              <w:widowControl/>
              <w:jc w:val="left"/>
              <w:rPr>
                <w:rFonts w:eastAsia="宋体"/>
                <w:sz w:val="18"/>
                <w:szCs w:val="18"/>
              </w:rPr>
            </w:pPr>
            <w:r>
              <w:rPr>
                <w:rFonts w:hint="eastAsia" w:eastAsia="宋体"/>
                <w:sz w:val="18"/>
                <w:szCs w:val="18"/>
              </w:rPr>
              <w:t>ATG 2-15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Timing</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UE transmit timing test</w:t>
            </w:r>
          </w:p>
        </w:tc>
        <w:tc>
          <w:tcPr>
            <w:tcW w:w="1065" w:type="dxa"/>
            <w:vAlign w:val="center"/>
          </w:tcPr>
          <w:p>
            <w:pPr>
              <w:widowControl/>
              <w:jc w:val="left"/>
              <w:rPr>
                <w:rFonts w:eastAsia="宋体"/>
                <w:sz w:val="18"/>
                <w:szCs w:val="18"/>
              </w:rPr>
            </w:pPr>
            <w:r>
              <w:rPr>
                <w:rFonts w:hint="eastAsia" w:eastAsia="宋体"/>
                <w:sz w:val="18"/>
                <w:szCs w:val="18"/>
              </w:rPr>
              <w:t>ATG 3-1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T</w:t>
            </w:r>
            <w:r>
              <w:rPr>
                <w:rFonts w:eastAsia="宋体"/>
                <w:sz w:val="18"/>
                <w:szCs w:val="18"/>
              </w:rPr>
              <w:t>iming advance adjustment accuracy</w:t>
            </w:r>
          </w:p>
        </w:tc>
        <w:tc>
          <w:tcPr>
            <w:tcW w:w="1065" w:type="dxa"/>
            <w:vAlign w:val="center"/>
          </w:tcPr>
          <w:p>
            <w:pPr>
              <w:widowControl/>
              <w:jc w:val="left"/>
              <w:rPr>
                <w:rFonts w:eastAsia="宋体"/>
                <w:sz w:val="18"/>
                <w:szCs w:val="18"/>
              </w:rPr>
            </w:pPr>
            <w:r>
              <w:rPr>
                <w:rFonts w:hint="eastAsia" w:eastAsia="宋体"/>
                <w:sz w:val="18"/>
                <w:szCs w:val="18"/>
              </w:rPr>
              <w:t>ATG 3-2</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eastAsia="宋体"/>
                <w:b/>
                <w:bCs/>
                <w:sz w:val="20"/>
                <w:szCs w:val="20"/>
              </w:rPr>
              <w:t>Signalling characteristics</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SSB-based RLM RS in non-DRX mode</w:t>
            </w:r>
          </w:p>
        </w:tc>
        <w:tc>
          <w:tcPr>
            <w:tcW w:w="1065" w:type="dxa"/>
            <w:vAlign w:val="center"/>
          </w:tcPr>
          <w:p>
            <w:pPr>
              <w:widowControl/>
              <w:jc w:val="left"/>
              <w:rPr>
                <w:rFonts w:eastAsia="宋体"/>
                <w:sz w:val="18"/>
                <w:szCs w:val="18"/>
              </w:rPr>
            </w:pPr>
            <w:r>
              <w:rPr>
                <w:rFonts w:hint="eastAsia" w:eastAsia="宋体"/>
                <w:sz w:val="18"/>
                <w:szCs w:val="18"/>
              </w:rPr>
              <w:t>ATG 4-1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SSB-based RLM RS in non-DRX mode</w:t>
            </w:r>
          </w:p>
        </w:tc>
        <w:tc>
          <w:tcPr>
            <w:tcW w:w="1065" w:type="dxa"/>
            <w:vAlign w:val="center"/>
          </w:tcPr>
          <w:p>
            <w:pPr>
              <w:widowControl/>
              <w:jc w:val="left"/>
              <w:rPr>
                <w:rFonts w:eastAsia="宋体"/>
                <w:sz w:val="18"/>
                <w:szCs w:val="18"/>
              </w:rPr>
            </w:pPr>
            <w:r>
              <w:rPr>
                <w:rFonts w:hint="eastAsia" w:eastAsia="宋体"/>
                <w:sz w:val="18"/>
                <w:szCs w:val="18"/>
              </w:rPr>
              <w:t>ATG 4-2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SSB-based RLM RS in DRX mode</w:t>
            </w:r>
          </w:p>
        </w:tc>
        <w:tc>
          <w:tcPr>
            <w:tcW w:w="1065" w:type="dxa"/>
            <w:vAlign w:val="center"/>
          </w:tcPr>
          <w:p>
            <w:pPr>
              <w:widowControl/>
              <w:jc w:val="left"/>
              <w:rPr>
                <w:rFonts w:eastAsia="宋体"/>
                <w:sz w:val="18"/>
                <w:szCs w:val="18"/>
              </w:rPr>
            </w:pPr>
            <w:r>
              <w:rPr>
                <w:rFonts w:hint="eastAsia" w:eastAsia="宋体"/>
                <w:sz w:val="18"/>
                <w:szCs w:val="18"/>
              </w:rPr>
              <w:t>ATG 4-3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SSB-based RLM RS in DRX mode</w:t>
            </w:r>
          </w:p>
        </w:tc>
        <w:tc>
          <w:tcPr>
            <w:tcW w:w="1065" w:type="dxa"/>
            <w:vAlign w:val="center"/>
          </w:tcPr>
          <w:p>
            <w:pPr>
              <w:widowControl/>
              <w:jc w:val="left"/>
              <w:rPr>
                <w:rFonts w:eastAsia="宋体"/>
                <w:sz w:val="18"/>
                <w:szCs w:val="18"/>
              </w:rPr>
            </w:pPr>
            <w:r>
              <w:rPr>
                <w:rFonts w:hint="eastAsia" w:eastAsia="宋体"/>
                <w:sz w:val="18"/>
                <w:szCs w:val="18"/>
              </w:rPr>
              <w:t>ATG 4-4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CSI-RS-based RLM in non-DRX mode</w:t>
            </w:r>
          </w:p>
        </w:tc>
        <w:tc>
          <w:tcPr>
            <w:tcW w:w="1065" w:type="dxa"/>
            <w:vAlign w:val="center"/>
          </w:tcPr>
          <w:p>
            <w:pPr>
              <w:widowControl/>
              <w:jc w:val="left"/>
              <w:rPr>
                <w:rFonts w:eastAsia="宋体"/>
                <w:sz w:val="18"/>
                <w:szCs w:val="18"/>
              </w:rPr>
            </w:pPr>
            <w:r>
              <w:rPr>
                <w:rFonts w:hint="eastAsia" w:eastAsia="宋体"/>
                <w:sz w:val="18"/>
                <w:szCs w:val="18"/>
              </w:rPr>
              <w:t>ATG 4-5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CSI-RS-based RLM in non-DRX mode</w:t>
            </w:r>
          </w:p>
        </w:tc>
        <w:tc>
          <w:tcPr>
            <w:tcW w:w="1065" w:type="dxa"/>
            <w:vAlign w:val="center"/>
          </w:tcPr>
          <w:p>
            <w:pPr>
              <w:widowControl/>
              <w:jc w:val="left"/>
              <w:rPr>
                <w:rFonts w:eastAsia="宋体"/>
                <w:sz w:val="18"/>
                <w:szCs w:val="18"/>
              </w:rPr>
            </w:pPr>
            <w:r>
              <w:rPr>
                <w:rFonts w:hint="eastAsia" w:eastAsia="宋体"/>
                <w:sz w:val="18"/>
                <w:szCs w:val="18"/>
              </w:rPr>
              <w:t>ATG 4-6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Out-of-sync Test for FR1 PCell configured with CSI-RS-based RLM in DRX mode</w:t>
            </w:r>
          </w:p>
        </w:tc>
        <w:tc>
          <w:tcPr>
            <w:tcW w:w="1065" w:type="dxa"/>
            <w:vAlign w:val="center"/>
          </w:tcPr>
          <w:p>
            <w:pPr>
              <w:widowControl/>
              <w:jc w:val="left"/>
              <w:rPr>
                <w:rFonts w:eastAsia="宋体"/>
                <w:sz w:val="18"/>
                <w:szCs w:val="18"/>
              </w:rPr>
            </w:pPr>
            <w:r>
              <w:rPr>
                <w:rFonts w:hint="eastAsia" w:eastAsia="宋体"/>
                <w:sz w:val="18"/>
                <w:szCs w:val="18"/>
              </w:rPr>
              <w:t>ATG 4-7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Radio Link Monitoring In-sync Test for FR1 PCell configured with CSI-RS-based RLM in DRX mode</w:t>
            </w:r>
          </w:p>
        </w:tc>
        <w:tc>
          <w:tcPr>
            <w:tcW w:w="1065" w:type="dxa"/>
            <w:vAlign w:val="center"/>
          </w:tcPr>
          <w:p>
            <w:pPr>
              <w:widowControl/>
              <w:jc w:val="left"/>
              <w:rPr>
                <w:rFonts w:eastAsia="宋体"/>
                <w:sz w:val="18"/>
                <w:szCs w:val="18"/>
              </w:rPr>
            </w:pPr>
            <w:r>
              <w:rPr>
                <w:rFonts w:hint="eastAsia" w:eastAsia="宋体"/>
                <w:sz w:val="18"/>
                <w:szCs w:val="18"/>
              </w:rPr>
              <w:t>ATG 4-8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SSB-based BFD and LR in non-DRX mode</w:t>
            </w:r>
          </w:p>
        </w:tc>
        <w:tc>
          <w:tcPr>
            <w:tcW w:w="1065" w:type="dxa"/>
            <w:vAlign w:val="center"/>
          </w:tcPr>
          <w:p>
            <w:pPr>
              <w:widowControl/>
              <w:jc w:val="left"/>
              <w:rPr>
                <w:rFonts w:eastAsia="宋体"/>
                <w:sz w:val="18"/>
                <w:szCs w:val="18"/>
              </w:rPr>
            </w:pPr>
            <w:r>
              <w:rPr>
                <w:rFonts w:hint="eastAsia" w:eastAsia="宋体"/>
                <w:sz w:val="18"/>
                <w:szCs w:val="18"/>
              </w:rPr>
              <w:t>ATG 4-9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SSB-based BFD and LR in DRX mode</w:t>
            </w:r>
          </w:p>
        </w:tc>
        <w:tc>
          <w:tcPr>
            <w:tcW w:w="1065" w:type="dxa"/>
            <w:vAlign w:val="center"/>
          </w:tcPr>
          <w:p>
            <w:pPr>
              <w:widowControl/>
              <w:jc w:val="left"/>
              <w:rPr>
                <w:rFonts w:eastAsia="宋体"/>
                <w:sz w:val="18"/>
                <w:szCs w:val="18"/>
              </w:rPr>
            </w:pPr>
            <w:r>
              <w:rPr>
                <w:rFonts w:hint="eastAsia" w:eastAsia="宋体"/>
                <w:sz w:val="18"/>
                <w:szCs w:val="18"/>
              </w:rPr>
              <w:t>ATG 4-10</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CSI-RS-based BFD and LR in non-DRX mode</w:t>
            </w:r>
          </w:p>
        </w:tc>
        <w:tc>
          <w:tcPr>
            <w:tcW w:w="1065" w:type="dxa"/>
            <w:vAlign w:val="center"/>
          </w:tcPr>
          <w:p>
            <w:pPr>
              <w:widowControl/>
              <w:jc w:val="left"/>
              <w:rPr>
                <w:rFonts w:eastAsia="宋体"/>
                <w:sz w:val="18"/>
                <w:szCs w:val="18"/>
              </w:rPr>
            </w:pPr>
            <w:r>
              <w:rPr>
                <w:rFonts w:hint="eastAsia" w:eastAsia="宋体"/>
                <w:sz w:val="18"/>
                <w:szCs w:val="18"/>
              </w:rPr>
              <w:t>ATG 4-11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Beam Failure Detection and Link Recovery Test for FR1 PCell configured with CSI-RS-based BFD and LR in DRX mode</w:t>
            </w:r>
          </w:p>
        </w:tc>
        <w:tc>
          <w:tcPr>
            <w:tcW w:w="1065" w:type="dxa"/>
            <w:vAlign w:val="center"/>
          </w:tcPr>
          <w:p>
            <w:pPr>
              <w:widowControl/>
              <w:jc w:val="left"/>
              <w:rPr>
                <w:rFonts w:eastAsia="宋体"/>
                <w:sz w:val="18"/>
                <w:szCs w:val="18"/>
              </w:rPr>
            </w:pPr>
            <w:r>
              <w:rPr>
                <w:rFonts w:hint="eastAsia" w:eastAsia="宋体"/>
                <w:sz w:val="18"/>
                <w:szCs w:val="18"/>
              </w:rPr>
              <w:t>ATG 4-12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DCI-based and Timer-based Active BWP Switch</w:t>
            </w:r>
          </w:p>
        </w:tc>
        <w:tc>
          <w:tcPr>
            <w:tcW w:w="1065" w:type="dxa"/>
            <w:vAlign w:val="center"/>
          </w:tcPr>
          <w:p>
            <w:pPr>
              <w:widowControl/>
              <w:jc w:val="left"/>
              <w:rPr>
                <w:rFonts w:eastAsia="宋体"/>
                <w:sz w:val="18"/>
                <w:szCs w:val="18"/>
              </w:rPr>
            </w:pPr>
            <w:r>
              <w:rPr>
                <w:rFonts w:hint="eastAsia" w:eastAsia="宋体"/>
                <w:sz w:val="18"/>
                <w:szCs w:val="18"/>
              </w:rPr>
              <w:t>ATG 4-13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RRC-based Active BWP Switch</w:t>
            </w:r>
          </w:p>
        </w:tc>
        <w:tc>
          <w:tcPr>
            <w:tcW w:w="1065" w:type="dxa"/>
            <w:vAlign w:val="center"/>
          </w:tcPr>
          <w:p>
            <w:pPr>
              <w:widowControl/>
              <w:jc w:val="left"/>
              <w:rPr>
                <w:rFonts w:eastAsia="宋体"/>
                <w:sz w:val="18"/>
                <w:szCs w:val="18"/>
              </w:rPr>
            </w:pPr>
            <w:r>
              <w:rPr>
                <w:rFonts w:hint="eastAsia" w:eastAsia="宋体"/>
                <w:sz w:val="18"/>
                <w:szCs w:val="18"/>
              </w:rPr>
              <w:t>ATG 4-14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UE specific CBW change</w:t>
            </w:r>
          </w:p>
        </w:tc>
        <w:tc>
          <w:tcPr>
            <w:tcW w:w="1065" w:type="dxa"/>
            <w:vAlign w:val="center"/>
          </w:tcPr>
          <w:p>
            <w:pPr>
              <w:widowControl/>
              <w:jc w:val="left"/>
              <w:rPr>
                <w:rFonts w:eastAsia="宋体"/>
                <w:sz w:val="18"/>
                <w:szCs w:val="18"/>
              </w:rPr>
            </w:pPr>
            <w:r>
              <w:rPr>
                <w:rFonts w:hint="eastAsia" w:eastAsia="宋体"/>
                <w:sz w:val="18"/>
                <w:szCs w:val="18"/>
              </w:rPr>
              <w:t>ATG 4-15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eastAsia="宋体"/>
                <w:sz w:val="18"/>
                <w:szCs w:val="18"/>
              </w:rPr>
              <w:t>Pathloss reference signal switching delay</w:t>
            </w:r>
          </w:p>
        </w:tc>
        <w:tc>
          <w:tcPr>
            <w:tcW w:w="1065" w:type="dxa"/>
            <w:vAlign w:val="center"/>
          </w:tcPr>
          <w:p>
            <w:pPr>
              <w:widowControl/>
              <w:jc w:val="left"/>
              <w:rPr>
                <w:rFonts w:eastAsia="宋体"/>
                <w:sz w:val="18"/>
                <w:szCs w:val="18"/>
              </w:rPr>
            </w:pPr>
            <w:r>
              <w:rPr>
                <w:rFonts w:hint="eastAsia" w:eastAsia="宋体"/>
                <w:sz w:val="18"/>
                <w:szCs w:val="18"/>
              </w:rPr>
              <w:t>ATG 4-16</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Measurement procedure</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non-DRX</w:t>
            </w:r>
          </w:p>
        </w:tc>
        <w:tc>
          <w:tcPr>
            <w:tcW w:w="1065" w:type="dxa"/>
            <w:vAlign w:val="center"/>
          </w:tcPr>
          <w:p>
            <w:pPr>
              <w:widowControl/>
              <w:jc w:val="left"/>
              <w:rPr>
                <w:rFonts w:eastAsia="宋体"/>
                <w:sz w:val="18"/>
                <w:szCs w:val="18"/>
              </w:rPr>
            </w:pPr>
            <w:r>
              <w:rPr>
                <w:rFonts w:hint="eastAsia" w:eastAsia="宋体"/>
                <w:sz w:val="18"/>
                <w:szCs w:val="18"/>
              </w:rPr>
              <w:t>ATG 5-1</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DRX</w:t>
            </w:r>
          </w:p>
        </w:tc>
        <w:tc>
          <w:tcPr>
            <w:tcW w:w="1065" w:type="dxa"/>
            <w:vAlign w:val="center"/>
          </w:tcPr>
          <w:p>
            <w:pPr>
              <w:widowControl/>
              <w:jc w:val="left"/>
              <w:rPr>
                <w:rFonts w:eastAsia="宋体"/>
                <w:sz w:val="18"/>
                <w:szCs w:val="18"/>
              </w:rPr>
            </w:pPr>
            <w:r>
              <w:rPr>
                <w:rFonts w:hint="eastAsia" w:eastAsia="宋体"/>
                <w:sz w:val="18"/>
                <w:szCs w:val="18"/>
              </w:rPr>
              <w:t>ATG 5-2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 per-UE gaps under non-DRX</w:t>
            </w:r>
          </w:p>
        </w:tc>
        <w:tc>
          <w:tcPr>
            <w:tcW w:w="1065" w:type="dxa"/>
            <w:vAlign w:val="center"/>
          </w:tcPr>
          <w:p>
            <w:pPr>
              <w:widowControl/>
              <w:jc w:val="left"/>
              <w:rPr>
                <w:rFonts w:eastAsia="宋体"/>
                <w:sz w:val="18"/>
                <w:szCs w:val="18"/>
              </w:rPr>
            </w:pPr>
            <w:r>
              <w:rPr>
                <w:rFonts w:hint="eastAsia" w:eastAsia="宋体"/>
                <w:sz w:val="18"/>
                <w:szCs w:val="18"/>
              </w:rPr>
              <w:t>ATG 5-3</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 per-UE gaps under DRX</w:t>
            </w:r>
          </w:p>
        </w:tc>
        <w:tc>
          <w:tcPr>
            <w:tcW w:w="1065" w:type="dxa"/>
            <w:vAlign w:val="center"/>
          </w:tcPr>
          <w:p>
            <w:pPr>
              <w:widowControl/>
              <w:jc w:val="left"/>
              <w:rPr>
                <w:rFonts w:eastAsia="宋体"/>
                <w:sz w:val="18"/>
                <w:szCs w:val="18"/>
              </w:rPr>
            </w:pPr>
            <w:r>
              <w:rPr>
                <w:rFonts w:hint="eastAsia" w:eastAsia="宋体"/>
                <w:sz w:val="18"/>
                <w:szCs w:val="18"/>
              </w:rPr>
              <w:t>ATG 5-4</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event triggered reporting tests without gap under non-DRX with SSB index reading</w:t>
            </w:r>
          </w:p>
        </w:tc>
        <w:tc>
          <w:tcPr>
            <w:tcW w:w="1065" w:type="dxa"/>
            <w:vAlign w:val="center"/>
          </w:tcPr>
          <w:p>
            <w:pPr>
              <w:widowControl/>
              <w:jc w:val="left"/>
              <w:rPr>
                <w:rFonts w:eastAsia="宋体"/>
                <w:sz w:val="18"/>
                <w:szCs w:val="18"/>
              </w:rPr>
            </w:pPr>
            <w:r>
              <w:rPr>
                <w:rFonts w:hint="eastAsia" w:eastAsia="宋体"/>
                <w:sz w:val="18"/>
                <w:szCs w:val="18"/>
              </w:rPr>
              <w:t>ATG 5-5</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Intra-frequency measurements SA event triggered reporting tests with per-UE gaps under non-DRX with SSB index reading</w:t>
            </w:r>
          </w:p>
        </w:tc>
        <w:tc>
          <w:tcPr>
            <w:tcW w:w="1065" w:type="dxa"/>
            <w:vAlign w:val="center"/>
          </w:tcPr>
          <w:p>
            <w:pPr>
              <w:widowControl/>
              <w:jc w:val="left"/>
              <w:rPr>
                <w:rFonts w:eastAsia="宋体"/>
                <w:sz w:val="18"/>
                <w:szCs w:val="18"/>
              </w:rPr>
            </w:pPr>
            <w:r>
              <w:rPr>
                <w:rFonts w:hint="eastAsia" w:eastAsia="宋体"/>
                <w:sz w:val="18"/>
                <w:szCs w:val="18"/>
              </w:rPr>
              <w:t>ATG 5-6</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SSB time index detection when DRX is not used</w:t>
            </w:r>
          </w:p>
        </w:tc>
        <w:tc>
          <w:tcPr>
            <w:tcW w:w="1065" w:type="dxa"/>
            <w:vAlign w:val="center"/>
          </w:tcPr>
          <w:p>
            <w:pPr>
              <w:widowControl/>
              <w:jc w:val="left"/>
              <w:rPr>
                <w:rFonts w:eastAsia="宋体"/>
                <w:sz w:val="18"/>
                <w:szCs w:val="18"/>
              </w:rPr>
            </w:pPr>
            <w:r>
              <w:rPr>
                <w:rFonts w:hint="eastAsia" w:eastAsia="宋体"/>
                <w:sz w:val="18"/>
                <w:szCs w:val="18"/>
              </w:rPr>
              <w:t>ATG 5-7</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SSB time index detection when DRX is used</w:t>
            </w:r>
          </w:p>
        </w:tc>
        <w:tc>
          <w:tcPr>
            <w:tcW w:w="1065" w:type="dxa"/>
            <w:vAlign w:val="center"/>
          </w:tcPr>
          <w:p>
            <w:pPr>
              <w:widowControl/>
              <w:jc w:val="left"/>
              <w:rPr>
                <w:rFonts w:eastAsia="宋体"/>
                <w:sz w:val="18"/>
                <w:szCs w:val="18"/>
              </w:rPr>
            </w:pPr>
            <w:r>
              <w:rPr>
                <w:rFonts w:hint="eastAsia" w:eastAsia="宋体"/>
                <w:sz w:val="18"/>
                <w:szCs w:val="18"/>
              </w:rPr>
              <w:t>ATG 5-8</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 SSB time index detection when DRX is not used</w:t>
            </w:r>
          </w:p>
        </w:tc>
        <w:tc>
          <w:tcPr>
            <w:tcW w:w="1065" w:type="dxa"/>
            <w:vAlign w:val="center"/>
          </w:tcPr>
          <w:p>
            <w:pPr>
              <w:widowControl/>
              <w:jc w:val="left"/>
              <w:rPr>
                <w:rFonts w:eastAsia="宋体"/>
                <w:sz w:val="18"/>
                <w:szCs w:val="18"/>
              </w:rPr>
            </w:pPr>
            <w:r>
              <w:rPr>
                <w:rFonts w:hint="eastAsia" w:eastAsia="宋体"/>
                <w:sz w:val="18"/>
                <w:szCs w:val="18"/>
              </w:rPr>
              <w:t>ATG 5-9</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 SSB time index detection when DRX is used</w:t>
            </w:r>
          </w:p>
        </w:tc>
        <w:tc>
          <w:tcPr>
            <w:tcW w:w="1065" w:type="dxa"/>
            <w:vAlign w:val="center"/>
          </w:tcPr>
          <w:p>
            <w:pPr>
              <w:widowControl/>
              <w:jc w:val="left"/>
              <w:rPr>
                <w:rFonts w:eastAsia="宋体"/>
                <w:sz w:val="18"/>
                <w:szCs w:val="18"/>
              </w:rPr>
            </w:pPr>
            <w:r>
              <w:rPr>
                <w:rFonts w:hint="eastAsia" w:eastAsia="宋体"/>
                <w:sz w:val="18"/>
                <w:szCs w:val="18"/>
              </w:rPr>
              <w:t>ATG 5-10</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gap when DRX is used</w:t>
            </w:r>
          </w:p>
        </w:tc>
        <w:tc>
          <w:tcPr>
            <w:tcW w:w="1065" w:type="dxa"/>
            <w:vAlign w:val="center"/>
          </w:tcPr>
          <w:p>
            <w:pPr>
              <w:widowControl/>
              <w:jc w:val="left"/>
              <w:rPr>
                <w:rFonts w:eastAsia="宋体"/>
                <w:sz w:val="18"/>
                <w:szCs w:val="18"/>
              </w:rPr>
            </w:pPr>
            <w:r>
              <w:rPr>
                <w:rFonts w:hint="eastAsia" w:eastAsia="宋体"/>
                <w:sz w:val="18"/>
                <w:szCs w:val="18"/>
              </w:rPr>
              <w:t>ATG 5-11</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Inter-frequency measurements event triggered reporting tests for FR1 without gap when DRX is not used</w:t>
            </w:r>
          </w:p>
        </w:tc>
        <w:tc>
          <w:tcPr>
            <w:tcW w:w="1065" w:type="dxa"/>
            <w:vAlign w:val="center"/>
          </w:tcPr>
          <w:p>
            <w:pPr>
              <w:widowControl/>
              <w:jc w:val="left"/>
              <w:rPr>
                <w:rFonts w:eastAsia="宋体"/>
                <w:sz w:val="18"/>
                <w:szCs w:val="18"/>
              </w:rPr>
            </w:pPr>
            <w:r>
              <w:rPr>
                <w:rFonts w:hint="eastAsia" w:eastAsia="宋体"/>
                <w:sz w:val="18"/>
                <w:szCs w:val="18"/>
              </w:rPr>
              <w:t>ATG 5-12</w:t>
            </w:r>
          </w:p>
        </w:tc>
        <w:tc>
          <w:tcPr>
            <w:tcW w:w="2341" w:type="dxa"/>
            <w:vAlign w:val="center"/>
          </w:tcPr>
          <w:p>
            <w:pPr>
              <w:widowControl/>
              <w:jc w:val="left"/>
              <w:rPr>
                <w:rFonts w:eastAsia="宋体"/>
                <w:sz w:val="18"/>
                <w:szCs w:val="18"/>
              </w:rPr>
            </w:pPr>
            <w:r>
              <w:rPr>
                <w:rFonts w:hint="eastAsia" w:eastAsia="宋体"/>
                <w:sz w:val="18"/>
                <w:szCs w:val="18"/>
              </w:rPr>
              <w:t>Neighbour cell reference BS location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SSB based L1-RSRP measurement when DRX is not used</w:t>
            </w:r>
          </w:p>
        </w:tc>
        <w:tc>
          <w:tcPr>
            <w:tcW w:w="1065" w:type="dxa"/>
            <w:vAlign w:val="center"/>
          </w:tcPr>
          <w:p>
            <w:pPr>
              <w:widowControl/>
              <w:jc w:val="left"/>
              <w:rPr>
                <w:rFonts w:eastAsia="宋体"/>
                <w:sz w:val="18"/>
                <w:szCs w:val="18"/>
              </w:rPr>
            </w:pPr>
            <w:r>
              <w:rPr>
                <w:rFonts w:hint="eastAsia" w:eastAsia="宋体"/>
                <w:sz w:val="18"/>
                <w:szCs w:val="18"/>
              </w:rPr>
              <w:t>ATG 5-13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SSB based L1-RSRP measurement when DRX is used</w:t>
            </w:r>
          </w:p>
        </w:tc>
        <w:tc>
          <w:tcPr>
            <w:tcW w:w="1065" w:type="dxa"/>
            <w:vAlign w:val="center"/>
          </w:tcPr>
          <w:p>
            <w:pPr>
              <w:widowControl/>
              <w:jc w:val="left"/>
              <w:rPr>
                <w:rFonts w:eastAsia="宋体"/>
                <w:sz w:val="18"/>
                <w:szCs w:val="18"/>
              </w:rPr>
            </w:pPr>
            <w:r>
              <w:rPr>
                <w:rFonts w:hint="eastAsia" w:eastAsia="宋体"/>
                <w:sz w:val="18"/>
                <w:szCs w:val="18"/>
              </w:rPr>
              <w:t>ATG 5-14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 based L1-RSRP measurement when DRX is not used</w:t>
            </w:r>
          </w:p>
        </w:tc>
        <w:tc>
          <w:tcPr>
            <w:tcW w:w="1065" w:type="dxa"/>
            <w:vAlign w:val="center"/>
          </w:tcPr>
          <w:p>
            <w:pPr>
              <w:widowControl/>
              <w:jc w:val="left"/>
              <w:rPr>
                <w:rFonts w:eastAsia="宋体"/>
                <w:sz w:val="18"/>
                <w:szCs w:val="18"/>
              </w:rPr>
            </w:pPr>
            <w:r>
              <w:rPr>
                <w:rFonts w:hint="eastAsia" w:eastAsia="宋体"/>
                <w:sz w:val="18"/>
                <w:szCs w:val="18"/>
              </w:rPr>
              <w:t>ATG 5-15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 based L1-RSRP measurement when DRX is used</w:t>
            </w:r>
          </w:p>
        </w:tc>
        <w:tc>
          <w:tcPr>
            <w:tcW w:w="1065" w:type="dxa"/>
            <w:vAlign w:val="center"/>
          </w:tcPr>
          <w:p>
            <w:pPr>
              <w:widowControl/>
              <w:jc w:val="left"/>
              <w:rPr>
                <w:rFonts w:eastAsia="宋体"/>
                <w:sz w:val="18"/>
                <w:szCs w:val="18"/>
              </w:rPr>
            </w:pPr>
            <w:r>
              <w:rPr>
                <w:rFonts w:hint="eastAsia" w:eastAsia="宋体"/>
                <w:sz w:val="18"/>
                <w:szCs w:val="18"/>
              </w:rPr>
              <w:t>ATG 5-16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no dedicated IMR configured when DRX is used</w:t>
            </w:r>
          </w:p>
        </w:tc>
        <w:tc>
          <w:tcPr>
            <w:tcW w:w="1065" w:type="dxa"/>
            <w:vAlign w:val="center"/>
          </w:tcPr>
          <w:p>
            <w:pPr>
              <w:widowControl/>
              <w:jc w:val="left"/>
              <w:rPr>
                <w:rFonts w:eastAsia="宋体"/>
                <w:sz w:val="18"/>
                <w:szCs w:val="18"/>
              </w:rPr>
            </w:pPr>
            <w:r>
              <w:rPr>
                <w:rFonts w:hint="eastAsia" w:eastAsia="宋体"/>
                <w:sz w:val="18"/>
                <w:szCs w:val="18"/>
              </w:rPr>
              <w:t>ATG 5-17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SSB based CMR and dedicated IMR when DRX is not used</w:t>
            </w:r>
          </w:p>
        </w:tc>
        <w:tc>
          <w:tcPr>
            <w:tcW w:w="1065" w:type="dxa"/>
            <w:vAlign w:val="center"/>
          </w:tcPr>
          <w:p>
            <w:pPr>
              <w:widowControl/>
              <w:jc w:val="left"/>
              <w:rPr>
                <w:rFonts w:eastAsia="宋体"/>
                <w:sz w:val="18"/>
                <w:szCs w:val="18"/>
              </w:rPr>
            </w:pPr>
            <w:r>
              <w:rPr>
                <w:rFonts w:hint="eastAsia" w:eastAsia="宋体"/>
                <w:sz w:val="18"/>
                <w:szCs w:val="18"/>
              </w:rPr>
              <w:t>ATG 5-18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dedicated IMR configured when DRX is not used</w:t>
            </w:r>
          </w:p>
        </w:tc>
        <w:tc>
          <w:tcPr>
            <w:tcW w:w="1065" w:type="dxa"/>
            <w:vAlign w:val="center"/>
          </w:tcPr>
          <w:p>
            <w:pPr>
              <w:widowControl/>
              <w:jc w:val="left"/>
              <w:rPr>
                <w:rFonts w:eastAsia="宋体"/>
                <w:sz w:val="18"/>
                <w:szCs w:val="18"/>
              </w:rPr>
            </w:pPr>
            <w:r>
              <w:rPr>
                <w:rFonts w:hint="eastAsia" w:eastAsia="宋体"/>
                <w:sz w:val="18"/>
                <w:szCs w:val="18"/>
              </w:rPr>
              <w:t>ATG 5-19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SA intra-frequency CGI identification of NR neighbor cell in FR1</w:t>
            </w:r>
          </w:p>
        </w:tc>
        <w:tc>
          <w:tcPr>
            <w:tcW w:w="1065" w:type="dxa"/>
            <w:vAlign w:val="center"/>
          </w:tcPr>
          <w:p>
            <w:pPr>
              <w:widowControl/>
              <w:jc w:val="left"/>
              <w:rPr>
                <w:rFonts w:eastAsia="宋体"/>
                <w:sz w:val="18"/>
                <w:szCs w:val="18"/>
              </w:rPr>
            </w:pPr>
            <w:r>
              <w:rPr>
                <w:rFonts w:hint="eastAsia" w:eastAsia="宋体"/>
                <w:sz w:val="18"/>
                <w:szCs w:val="18"/>
              </w:rPr>
              <w:t>ATG 5-20</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sz w:val="20"/>
          <w:szCs w:val="20"/>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6"/>
        <w:gridCol w:w="1065"/>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tcPr>
          <w:p>
            <w:pPr>
              <w:widowControl/>
              <w:jc w:val="center"/>
              <w:rPr>
                <w:rFonts w:eastAsia="宋体"/>
                <w:b/>
                <w:bCs/>
                <w:sz w:val="18"/>
                <w:szCs w:val="18"/>
              </w:rPr>
            </w:pPr>
            <w:r>
              <w:rPr>
                <w:rFonts w:hint="eastAsia" w:eastAsia="宋体"/>
                <w:b/>
                <w:bCs/>
                <w:sz w:val="18"/>
                <w:szCs w:val="18"/>
              </w:rPr>
              <w:t>Test scope</w:t>
            </w:r>
          </w:p>
          <w:p>
            <w:pPr>
              <w:widowControl/>
              <w:jc w:val="center"/>
              <w:rPr>
                <w:rFonts w:eastAsia="宋体"/>
                <w:b/>
                <w:bCs/>
                <w:sz w:val="20"/>
                <w:szCs w:val="20"/>
              </w:rPr>
            </w:pPr>
            <w:r>
              <w:rPr>
                <w:rFonts w:hint="eastAsia" w:eastAsia="宋体"/>
                <w:b/>
                <w:bCs/>
                <w:sz w:val="18"/>
                <w:szCs w:val="18"/>
              </w:rPr>
              <w:t>Measurement Performance requirements</w:t>
            </w:r>
          </w:p>
        </w:tc>
        <w:tc>
          <w:tcPr>
            <w:tcW w:w="1065" w:type="dxa"/>
          </w:tcPr>
          <w:p>
            <w:pPr>
              <w:widowControl/>
              <w:jc w:val="center"/>
              <w:rPr>
                <w:rFonts w:eastAsia="宋体"/>
                <w:b/>
                <w:bCs/>
                <w:sz w:val="20"/>
                <w:szCs w:val="20"/>
              </w:rPr>
            </w:pPr>
            <w:r>
              <w:rPr>
                <w:rFonts w:hint="eastAsia" w:eastAsia="宋体"/>
                <w:b/>
                <w:bCs/>
                <w:sz w:val="18"/>
                <w:szCs w:val="18"/>
              </w:rPr>
              <w:t>Test number</w:t>
            </w:r>
          </w:p>
        </w:tc>
        <w:tc>
          <w:tcPr>
            <w:tcW w:w="2341" w:type="dxa"/>
          </w:tcPr>
          <w:p>
            <w:pPr>
              <w:widowControl/>
              <w:jc w:val="center"/>
              <w:rPr>
                <w:rFonts w:eastAsia="宋体"/>
                <w:b/>
                <w:bCs/>
                <w:sz w:val="20"/>
                <w:szCs w:val="20"/>
              </w:rPr>
            </w:pPr>
            <w:r>
              <w:rPr>
                <w:rFonts w:hint="eastAsia" w:eastAsia="宋体"/>
                <w:b/>
                <w:bCs/>
                <w:sz w:val="18"/>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6" w:type="dxa"/>
            <w:vAlign w:val="center"/>
          </w:tcPr>
          <w:p>
            <w:pPr>
              <w:widowControl/>
              <w:jc w:val="left"/>
              <w:rPr>
                <w:rFonts w:eastAsia="宋体"/>
                <w:sz w:val="18"/>
                <w:szCs w:val="18"/>
              </w:rPr>
            </w:pPr>
            <w:r>
              <w:rPr>
                <w:rFonts w:hint="eastAsia" w:eastAsia="宋体"/>
                <w:sz w:val="18"/>
                <w:szCs w:val="18"/>
              </w:rPr>
              <w:t>SS-RSRP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SS-RSRP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SS-RSRQ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116" w:type="dxa"/>
            <w:vAlign w:val="center"/>
          </w:tcPr>
          <w:p>
            <w:pPr>
              <w:widowControl/>
              <w:jc w:val="left"/>
              <w:rPr>
                <w:rFonts w:eastAsia="宋体"/>
                <w:sz w:val="18"/>
                <w:szCs w:val="18"/>
              </w:rPr>
            </w:pPr>
            <w:r>
              <w:rPr>
                <w:rFonts w:hint="eastAsia" w:eastAsia="宋体"/>
                <w:sz w:val="18"/>
                <w:szCs w:val="18"/>
              </w:rPr>
              <w:t>SS-RSRQ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SS-SINR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SS-SINR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L1-RSRP measurement SSB based L1-RSRP measurement</w:t>
            </w:r>
          </w:p>
        </w:tc>
        <w:tc>
          <w:tcPr>
            <w:tcW w:w="1065" w:type="dxa"/>
            <w:vAlign w:val="center"/>
          </w:tcPr>
          <w:p>
            <w:pPr>
              <w:widowControl/>
              <w:jc w:val="left"/>
              <w:rPr>
                <w:rFonts w:eastAsia="宋体"/>
                <w:sz w:val="18"/>
                <w:szCs w:val="18"/>
              </w:rPr>
            </w:pPr>
            <w:r>
              <w:rPr>
                <w:rFonts w:hint="eastAsia" w:eastAsia="宋体"/>
                <w:sz w:val="18"/>
                <w:szCs w:val="18"/>
              </w:rPr>
              <w:t>ATG 6-7</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L1-RSRP measurement CSI-RS based L1-RSRP measurement on resource set with repetition off</w:t>
            </w:r>
          </w:p>
        </w:tc>
        <w:tc>
          <w:tcPr>
            <w:tcW w:w="1065" w:type="dxa"/>
            <w:vAlign w:val="center"/>
          </w:tcPr>
          <w:p>
            <w:pPr>
              <w:widowControl/>
              <w:jc w:val="left"/>
              <w:rPr>
                <w:rFonts w:eastAsia="宋体"/>
                <w:sz w:val="18"/>
                <w:szCs w:val="18"/>
              </w:rPr>
            </w:pPr>
            <w:r>
              <w:rPr>
                <w:rFonts w:hint="eastAsia" w:eastAsia="宋体"/>
                <w:sz w:val="18"/>
                <w:szCs w:val="18"/>
              </w:rPr>
              <w:t>ATG 6-8</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no dedicated IMR configured and CSI-RS resource set with repetition off</w:t>
            </w:r>
          </w:p>
        </w:tc>
        <w:tc>
          <w:tcPr>
            <w:tcW w:w="1065" w:type="dxa"/>
            <w:vAlign w:val="center"/>
          </w:tcPr>
          <w:p>
            <w:pPr>
              <w:widowControl/>
              <w:jc w:val="left"/>
              <w:rPr>
                <w:rFonts w:eastAsia="宋体"/>
                <w:sz w:val="18"/>
                <w:szCs w:val="18"/>
              </w:rPr>
            </w:pPr>
            <w:r>
              <w:rPr>
                <w:rFonts w:hint="eastAsia" w:eastAsia="宋体"/>
                <w:sz w:val="18"/>
                <w:szCs w:val="18"/>
              </w:rPr>
              <w:t>ATG 6-9</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SSB based CMR and dedicated IMR</w:t>
            </w:r>
          </w:p>
        </w:tc>
        <w:tc>
          <w:tcPr>
            <w:tcW w:w="1065" w:type="dxa"/>
            <w:vAlign w:val="center"/>
          </w:tcPr>
          <w:p>
            <w:pPr>
              <w:widowControl/>
              <w:jc w:val="left"/>
              <w:rPr>
                <w:rFonts w:eastAsia="宋体"/>
                <w:sz w:val="18"/>
                <w:szCs w:val="18"/>
              </w:rPr>
            </w:pPr>
            <w:r>
              <w:rPr>
                <w:rFonts w:hint="eastAsia" w:eastAsia="宋体"/>
                <w:sz w:val="18"/>
                <w:szCs w:val="18"/>
              </w:rPr>
              <w:t>ATG 6-10</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L1-SINR measurement with CSI-RS based CMR and dedicated IMR</w:t>
            </w:r>
          </w:p>
        </w:tc>
        <w:tc>
          <w:tcPr>
            <w:tcW w:w="1065" w:type="dxa"/>
            <w:vAlign w:val="center"/>
          </w:tcPr>
          <w:p>
            <w:pPr>
              <w:widowControl/>
              <w:jc w:val="left"/>
              <w:rPr>
                <w:rFonts w:eastAsia="宋体"/>
                <w:sz w:val="18"/>
                <w:szCs w:val="18"/>
              </w:rPr>
            </w:pPr>
            <w:r>
              <w:rPr>
                <w:rFonts w:hint="eastAsia" w:eastAsia="宋体"/>
                <w:sz w:val="18"/>
                <w:szCs w:val="18"/>
              </w:rPr>
              <w:t>ATG 6-11</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CSI-RSRP intra-frequency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6-12</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CSI-RSRP inter-frequency case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6-13</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CSI-RSRQ Intra-frequency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6-14</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CSI-RSRQ Inter-frequency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6-15</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CSI-SINR intra-frequency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6-16</w:t>
            </w:r>
          </w:p>
        </w:tc>
        <w:tc>
          <w:tcPr>
            <w:tcW w:w="2341" w:type="dxa"/>
            <w:vAlign w:val="center"/>
          </w:tcPr>
          <w:p>
            <w:pPr>
              <w:widowControl/>
              <w:jc w:val="left"/>
              <w:rPr>
                <w:rFonts w:eastAsia="宋体"/>
                <w:sz w:val="18"/>
                <w:szCs w:val="18"/>
              </w:rPr>
            </w:pPr>
            <w:r>
              <w:rPr>
                <w:rFonts w:hint="eastAsia" w:eastAsia="宋体"/>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116" w:type="dxa"/>
            <w:vAlign w:val="center"/>
          </w:tcPr>
          <w:p>
            <w:pPr>
              <w:widowControl/>
              <w:jc w:val="left"/>
              <w:rPr>
                <w:rFonts w:eastAsia="宋体"/>
                <w:sz w:val="18"/>
                <w:szCs w:val="18"/>
              </w:rPr>
            </w:pPr>
            <w:r>
              <w:rPr>
                <w:rFonts w:hint="eastAsia" w:eastAsia="宋体"/>
                <w:sz w:val="18"/>
                <w:szCs w:val="18"/>
              </w:rPr>
              <w:t>CSI-SINR Inter-frequency measurement accuracy with FR1 serving cell and FR1 target cell</w:t>
            </w:r>
          </w:p>
        </w:tc>
        <w:tc>
          <w:tcPr>
            <w:tcW w:w="1065" w:type="dxa"/>
            <w:vAlign w:val="center"/>
          </w:tcPr>
          <w:p>
            <w:pPr>
              <w:widowControl/>
              <w:jc w:val="left"/>
              <w:rPr>
                <w:rFonts w:eastAsia="宋体"/>
                <w:sz w:val="18"/>
                <w:szCs w:val="18"/>
              </w:rPr>
            </w:pPr>
            <w:r>
              <w:rPr>
                <w:rFonts w:hint="eastAsia" w:eastAsia="宋体"/>
                <w:sz w:val="18"/>
                <w:szCs w:val="18"/>
              </w:rPr>
              <w:t>ATG 6-17</w:t>
            </w:r>
          </w:p>
        </w:tc>
        <w:tc>
          <w:tcPr>
            <w:tcW w:w="2341" w:type="dxa"/>
            <w:vAlign w:val="center"/>
          </w:tcPr>
          <w:p>
            <w:pPr>
              <w:widowControl/>
              <w:jc w:val="left"/>
              <w:rPr>
                <w:rFonts w:eastAsia="宋体"/>
                <w:sz w:val="18"/>
                <w:szCs w:val="18"/>
              </w:rPr>
            </w:pPr>
            <w:r>
              <w:rPr>
                <w:rFonts w:hint="eastAsia" w:eastAsia="宋体"/>
                <w:sz w:val="18"/>
                <w:szCs w:val="18"/>
              </w:rPr>
              <w:t>N/A</w:t>
            </w:r>
          </w:p>
        </w:tc>
      </w:tr>
    </w:tbl>
    <w:p>
      <w:pPr>
        <w:spacing w:before="60"/>
        <w:jc w:val="both"/>
        <w:rPr>
          <w:rFonts w:eastAsia="宋体"/>
          <w:b/>
          <w:bCs/>
          <w:i/>
          <w:iCs/>
          <w:sz w:val="20"/>
          <w:szCs w:val="20"/>
          <w:u w:val="single"/>
        </w:rPr>
      </w:pPr>
      <w:r>
        <w:rPr>
          <w:rFonts w:hint="eastAsia"/>
          <w:b/>
          <w:i/>
          <w:iCs/>
          <w:sz w:val="20"/>
          <w:szCs w:val="20"/>
        </w:rPr>
        <w:t>Proposal 5: For the location-based cell re-selection tests, location-based CHO tests and UL transmit timing tests, the UE mobility should be assumed with 1200km/h. For the other tests, UE could be assumed with no mobility.</w:t>
      </w:r>
    </w:p>
    <w:p>
      <w:pPr>
        <w:spacing w:before="60"/>
        <w:jc w:val="both"/>
        <w:rPr>
          <w:b/>
          <w:i/>
          <w:iCs/>
          <w:sz w:val="20"/>
          <w:szCs w:val="20"/>
        </w:rPr>
      </w:pPr>
      <w:r>
        <w:rPr>
          <w:rFonts w:hint="eastAsia"/>
          <w:b/>
          <w:i/>
          <w:iCs/>
          <w:sz w:val="20"/>
          <w:szCs w:val="20"/>
        </w:rPr>
        <w:t>Proposal 6: For the FDD cell re-selection test and intra/inter-frequency measurement test for UE with omnidirectional antenna, configure 1 neighbour cell. For the TDD cell re-selection test and and intra/inter-frequency measurement test for UE with antenna array, choose some test cases to configure 2 neighbour cells.</w:t>
      </w:r>
    </w:p>
    <w:p>
      <w:pPr>
        <w:spacing w:before="60"/>
        <w:jc w:val="both"/>
        <w:rPr>
          <w:rFonts w:hint="eastAsia" w:eastAsia="宋体"/>
          <w:b w:val="0"/>
          <w:bCs w:val="0"/>
          <w:i w:val="0"/>
          <w:iCs w:val="0"/>
          <w:sz w:val="20"/>
          <w:szCs w:val="20"/>
          <w:u w:val="none"/>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w:t>
      </w:r>
      <w:r>
        <w:rPr>
          <w:rFonts w:hint="eastAsia"/>
          <w:b/>
          <w:i/>
          <w:iCs/>
          <w:sz w:val="20"/>
          <w:szCs w:val="20"/>
          <w:lang w:val="en-US" w:eastAsia="zh-CN"/>
        </w:rPr>
        <w:t>U</w:t>
      </w:r>
      <w:r>
        <w:rPr>
          <w:rFonts w:hint="eastAsia" w:eastAsiaTheme="minorEastAsia"/>
          <w:b/>
          <w:bCs w:val="0"/>
          <w:i/>
          <w:iCs/>
          <w:sz w:val="20"/>
          <w:szCs w:val="20"/>
          <w:u w:val="none"/>
          <w:lang w:val="en-US" w:eastAsia="zh-CN"/>
        </w:rPr>
        <w:t>se the AWGN</w:t>
      </w:r>
      <w:r>
        <w:rPr>
          <w:rFonts w:hint="eastAsia"/>
          <w:b/>
          <w:bCs w:val="0"/>
          <w:i/>
          <w:iCs/>
          <w:sz w:val="20"/>
          <w:szCs w:val="20"/>
          <w:u w:val="none"/>
          <w:lang w:val="en-US" w:eastAsia="zh-CN"/>
        </w:rPr>
        <w:t xml:space="preserve"> </w:t>
      </w:r>
      <w:r>
        <w:rPr>
          <w:rFonts w:hint="eastAsia" w:eastAsiaTheme="minorEastAsia"/>
          <w:b/>
          <w:bCs w:val="0"/>
          <w:i/>
          <w:iCs/>
          <w:sz w:val="20"/>
          <w:szCs w:val="20"/>
          <w:u w:val="none"/>
          <w:lang w:val="en-US" w:eastAsia="zh-CN"/>
        </w:rPr>
        <w:t>with residual doppler channel model for RRM test cases.</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3"/>
        </w:numPr>
        <w:rPr>
          <w:sz w:val="20"/>
          <w:szCs w:val="20"/>
          <w:lang w:val="en-GB"/>
        </w:rPr>
      </w:pPr>
      <w:r>
        <w:rPr>
          <w:rFonts w:hint="eastAsia"/>
          <w:sz w:val="20"/>
          <w:szCs w:val="20"/>
        </w:rPr>
        <w:t>R4-2314307, WF on NR ATG RRM requirements, CMCC</w:t>
      </w:r>
    </w:p>
    <w:p/>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1BBCF5"/>
    <w:multiLevelType w:val="singleLevel"/>
    <w:tmpl w:val="471BBCF5"/>
    <w:lvl w:ilvl="0" w:tentative="0">
      <w:start w:val="1"/>
      <w:numFmt w:val="decimal"/>
      <w:suff w:val="space"/>
      <w:lvlText w:val="[%1]"/>
      <w:lvlJc w:val="left"/>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D11DCE"/>
    <w:rsid w:val="03D86526"/>
    <w:rsid w:val="06F75AD2"/>
    <w:rsid w:val="0F7A5B7B"/>
    <w:rsid w:val="10464BC0"/>
    <w:rsid w:val="18BE4A43"/>
    <w:rsid w:val="18D9421B"/>
    <w:rsid w:val="1CE847F5"/>
    <w:rsid w:val="1FCC1334"/>
    <w:rsid w:val="208F304C"/>
    <w:rsid w:val="23226087"/>
    <w:rsid w:val="24452905"/>
    <w:rsid w:val="25466E4D"/>
    <w:rsid w:val="2CE10DFC"/>
    <w:rsid w:val="335825D6"/>
    <w:rsid w:val="3ACE28A7"/>
    <w:rsid w:val="3C986043"/>
    <w:rsid w:val="3D9F061F"/>
    <w:rsid w:val="3EBD45F1"/>
    <w:rsid w:val="42A52A53"/>
    <w:rsid w:val="46066F60"/>
    <w:rsid w:val="47506F6D"/>
    <w:rsid w:val="47B27DFC"/>
    <w:rsid w:val="4AFB201B"/>
    <w:rsid w:val="4EEC4C43"/>
    <w:rsid w:val="505C7A00"/>
    <w:rsid w:val="52A50065"/>
    <w:rsid w:val="54260228"/>
    <w:rsid w:val="59EF76A3"/>
    <w:rsid w:val="5EDF6D5C"/>
    <w:rsid w:val="5FC561E5"/>
    <w:rsid w:val="663A164A"/>
    <w:rsid w:val="6B934BAF"/>
    <w:rsid w:val="6FC3127F"/>
    <w:rsid w:val="71B927E7"/>
    <w:rsid w:val="71F52B18"/>
    <w:rsid w:val="72BE025B"/>
    <w:rsid w:val="770D5AF8"/>
    <w:rsid w:val="7CA61337"/>
    <w:rsid w:val="7CD32EB0"/>
    <w:rsid w:val="7D813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1855</Words>
  <Characters>10574</Characters>
  <Lines>88</Lines>
  <Paragraphs>24</Paragraphs>
  <TotalTime>3</TotalTime>
  <ScaleCrop>false</ScaleCrop>
  <LinksUpToDate>false</LinksUpToDate>
  <CharactersWithSpaces>12405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cp:lastModifiedBy>
  <dcterms:modified xsi:type="dcterms:W3CDTF">2023-09-26T12:26:06Z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AD64AC204EA64369A1FB002ABAEC9A42</vt:lpwstr>
  </property>
</Properties>
</file>